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0"/>
        <w:bidiVisual/>
        <w:tblW w:w="87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12"/>
        <w:gridCol w:w="2506"/>
        <w:gridCol w:w="5571"/>
      </w:tblGrid>
      <w:tr w:rsidR="006015D4" w:rsidRPr="00A50092" w:rsidTr="006015D4">
        <w:trPr>
          <w:jc w:val="center"/>
        </w:trPr>
        <w:tc>
          <w:tcPr>
            <w:tcW w:w="712" w:type="dxa"/>
          </w:tcPr>
          <w:p w:rsidR="006015D4" w:rsidRPr="00A50092" w:rsidRDefault="006015D4" w:rsidP="006015D4">
            <w:pPr>
              <w:suppressLineNumbers/>
              <w:spacing w:after="120" w:line="360" w:lineRule="auto"/>
              <w:jc w:val="both"/>
              <w:rPr>
                <w:rFonts w:ascii="David" w:hAnsi="David"/>
                <w:b/>
                <w:bCs/>
                <w:sz w:val="26"/>
                <w:szCs w:val="26"/>
                <w:rtl/>
              </w:rPr>
            </w:pPr>
            <w:bookmarkStart w:id="0" w:name="_GoBack"/>
            <w:bookmarkEnd w:id="0"/>
            <w:r w:rsidRPr="00A50092">
              <w:rPr>
                <w:rFonts w:ascii="David" w:hAnsi="David"/>
                <w:b/>
                <w:bCs/>
                <w:sz w:val="26"/>
                <w:szCs w:val="26"/>
                <w:rtl/>
              </w:rPr>
              <w:t>בפנ</w:t>
            </w:r>
            <w:r>
              <w:rPr>
                <w:rFonts w:ascii="David" w:hAnsi="David" w:hint="cs"/>
                <w:b/>
                <w:bCs/>
                <w:sz w:val="26"/>
                <w:szCs w:val="26"/>
                <w:rtl/>
              </w:rPr>
              <w:t>י</w:t>
            </w:r>
            <w:r w:rsidRPr="00A50092">
              <w:rPr>
                <w:rFonts w:ascii="David" w:hAnsi="David"/>
                <w:b/>
                <w:bCs/>
                <w:sz w:val="26"/>
                <w:szCs w:val="26"/>
                <w:rtl/>
              </w:rPr>
              <w:t xml:space="preserve"> </w:t>
            </w:r>
          </w:p>
        </w:tc>
        <w:tc>
          <w:tcPr>
            <w:tcW w:w="8077" w:type="dxa"/>
            <w:gridSpan w:val="2"/>
          </w:tcPr>
          <w:p w:rsidR="006015D4" w:rsidRDefault="006015D4" w:rsidP="006015D4">
            <w:pPr>
              <w:suppressLineNumbers/>
              <w:spacing w:after="120" w:line="360" w:lineRule="auto"/>
              <w:rPr>
                <w:rFonts w:ascii="David" w:hAnsi="David"/>
                <w:b/>
                <w:bCs/>
                <w:sz w:val="26"/>
                <w:szCs w:val="26"/>
                <w:highlight w:val="yellow"/>
                <w:rtl/>
              </w:rPr>
            </w:pPr>
            <w:r w:rsidRPr="00A50092">
              <w:rPr>
                <w:rFonts w:ascii="David" w:hAnsi="David"/>
                <w:b/>
                <w:bCs/>
                <w:sz w:val="26"/>
                <w:szCs w:val="26"/>
                <w:rtl/>
              </w:rPr>
              <w:t>כבוד השופט  חננאל שרעבי</w:t>
            </w:r>
          </w:p>
          <w:p w:rsidR="006015D4" w:rsidRPr="00A50092" w:rsidRDefault="006015D4" w:rsidP="006015D4">
            <w:pPr>
              <w:suppressLineNumbers/>
              <w:spacing w:after="120" w:line="360" w:lineRule="auto"/>
              <w:rPr>
                <w:rFonts w:ascii="David" w:hAnsi="David"/>
                <w:b/>
                <w:bCs/>
                <w:sz w:val="26"/>
                <w:szCs w:val="26"/>
                <w:highlight w:val="yellow"/>
              </w:rPr>
            </w:pPr>
          </w:p>
        </w:tc>
      </w:tr>
      <w:tr w:rsidR="006015D4" w:rsidRPr="00A50092" w:rsidTr="006015D4">
        <w:trPr>
          <w:jc w:val="center"/>
        </w:trPr>
        <w:tc>
          <w:tcPr>
            <w:tcW w:w="3218" w:type="dxa"/>
            <w:gridSpan w:val="2"/>
          </w:tcPr>
          <w:p w:rsidR="006015D4" w:rsidRPr="00A50092" w:rsidRDefault="006015D4" w:rsidP="006015D4">
            <w:pPr>
              <w:suppressLineNumbers/>
              <w:spacing w:before="120" w:after="120" w:line="360" w:lineRule="auto"/>
              <w:rPr>
                <w:rFonts w:ascii="David" w:hAnsi="David"/>
                <w:b/>
                <w:bCs/>
                <w:sz w:val="26"/>
                <w:szCs w:val="26"/>
                <w:rtl/>
              </w:rPr>
            </w:pPr>
            <w:r w:rsidRPr="00A50092">
              <w:rPr>
                <w:rFonts w:ascii="David" w:hAnsi="David"/>
                <w:b/>
                <w:bCs/>
                <w:sz w:val="26"/>
                <w:szCs w:val="26"/>
                <w:rtl/>
              </w:rPr>
              <w:t>מבקש</w:t>
            </w:r>
          </w:p>
        </w:tc>
        <w:tc>
          <w:tcPr>
            <w:tcW w:w="5571" w:type="dxa"/>
          </w:tcPr>
          <w:p w:rsidR="006015D4" w:rsidRDefault="001765DE" w:rsidP="006015D4">
            <w:pPr>
              <w:suppressLineNumbers/>
              <w:spacing w:line="360" w:lineRule="auto"/>
              <w:rPr>
                <w:rFonts w:ascii="David" w:hAnsi="David"/>
                <w:b/>
                <w:bCs/>
                <w:sz w:val="26"/>
                <w:szCs w:val="26"/>
                <w:rtl/>
              </w:rPr>
            </w:pPr>
            <w:r>
              <w:rPr>
                <w:rFonts w:ascii="David" w:hAnsi="David"/>
                <w:b/>
                <w:bCs/>
                <w:sz w:val="26"/>
                <w:szCs w:val="26"/>
                <w:rtl/>
              </w:rPr>
              <w:t>ג</w:t>
            </w:r>
            <w:r>
              <w:rPr>
                <w:rFonts w:ascii="David" w:hAnsi="David" w:hint="cs"/>
                <w:b/>
                <w:bCs/>
                <w:sz w:val="26"/>
                <w:szCs w:val="26"/>
                <w:rtl/>
              </w:rPr>
              <w:t>. פ</w:t>
            </w:r>
          </w:p>
          <w:p w:rsidR="006015D4" w:rsidRPr="00A50092" w:rsidRDefault="006015D4" w:rsidP="006015D4">
            <w:pPr>
              <w:suppressLineNumbers/>
              <w:spacing w:line="360" w:lineRule="auto"/>
              <w:rPr>
                <w:rFonts w:ascii="David" w:hAnsi="David"/>
                <w:b/>
                <w:bCs/>
                <w:sz w:val="26"/>
                <w:szCs w:val="26"/>
              </w:rPr>
            </w:pPr>
            <w:r>
              <w:rPr>
                <w:rFonts w:ascii="David" w:hAnsi="David" w:hint="cs"/>
                <w:b/>
                <w:bCs/>
                <w:sz w:val="26"/>
                <w:szCs w:val="26"/>
                <w:rtl/>
              </w:rPr>
              <w:t>ע"י ב"כ עוה"ד שמואל פלור</w:t>
            </w:r>
          </w:p>
        </w:tc>
      </w:tr>
      <w:tr w:rsidR="006015D4" w:rsidRPr="00A50092" w:rsidTr="006015D4">
        <w:trPr>
          <w:jc w:val="center"/>
        </w:trPr>
        <w:tc>
          <w:tcPr>
            <w:tcW w:w="8789" w:type="dxa"/>
            <w:gridSpan w:val="3"/>
          </w:tcPr>
          <w:p w:rsidR="006015D4" w:rsidRPr="00A50092" w:rsidRDefault="006015D4" w:rsidP="006015D4">
            <w:pPr>
              <w:suppressLineNumbers/>
              <w:spacing w:before="240" w:after="240" w:line="360" w:lineRule="auto"/>
              <w:jc w:val="center"/>
              <w:rPr>
                <w:rFonts w:ascii="David" w:hAnsi="David"/>
                <w:b/>
                <w:bCs/>
                <w:sz w:val="26"/>
                <w:szCs w:val="26"/>
              </w:rPr>
            </w:pPr>
            <w:r>
              <w:rPr>
                <w:rFonts w:ascii="David" w:hAnsi="David"/>
                <w:b/>
                <w:bCs/>
                <w:sz w:val="26"/>
                <w:szCs w:val="26"/>
                <w:rtl/>
              </w:rPr>
              <w:t>נג</w:t>
            </w:r>
            <w:r>
              <w:rPr>
                <w:rFonts w:ascii="David" w:hAnsi="David" w:hint="cs"/>
                <w:b/>
                <w:bCs/>
                <w:sz w:val="26"/>
                <w:szCs w:val="26"/>
                <w:rtl/>
              </w:rPr>
              <w:t>ד</w:t>
            </w:r>
          </w:p>
        </w:tc>
      </w:tr>
      <w:tr w:rsidR="006015D4" w:rsidRPr="00A50092" w:rsidTr="006015D4">
        <w:trPr>
          <w:jc w:val="center"/>
        </w:trPr>
        <w:tc>
          <w:tcPr>
            <w:tcW w:w="3218" w:type="dxa"/>
            <w:gridSpan w:val="2"/>
          </w:tcPr>
          <w:p w:rsidR="006015D4" w:rsidRPr="00A50092" w:rsidRDefault="006015D4" w:rsidP="006015D4">
            <w:pPr>
              <w:suppressLineNumbers/>
              <w:spacing w:before="120" w:after="120" w:line="360" w:lineRule="auto"/>
              <w:rPr>
                <w:rFonts w:ascii="David" w:hAnsi="David"/>
                <w:b/>
                <w:bCs/>
                <w:sz w:val="26"/>
                <w:szCs w:val="26"/>
              </w:rPr>
            </w:pPr>
            <w:r w:rsidRPr="00A50092">
              <w:rPr>
                <w:rFonts w:ascii="David" w:hAnsi="David"/>
                <w:b/>
                <w:bCs/>
                <w:sz w:val="26"/>
                <w:szCs w:val="26"/>
                <w:rtl/>
              </w:rPr>
              <w:t>משיבה</w:t>
            </w:r>
            <w:r w:rsidRPr="00A50092">
              <w:rPr>
                <w:rFonts w:ascii="David" w:hAnsi="David"/>
                <w:b/>
                <w:bCs/>
                <w:sz w:val="26"/>
                <w:szCs w:val="26"/>
                <w:rtl/>
              </w:rPr>
              <w:br/>
            </w:r>
            <w:r w:rsidRPr="00A50092">
              <w:rPr>
                <w:rFonts w:ascii="David" w:hAnsi="David"/>
                <w:b/>
                <w:bCs/>
                <w:sz w:val="26"/>
                <w:szCs w:val="26"/>
                <w:rtl/>
              </w:rPr>
              <w:br/>
            </w:r>
            <w:r w:rsidRPr="00A50092">
              <w:rPr>
                <w:rFonts w:ascii="David" w:hAnsi="David"/>
                <w:b/>
                <w:bCs/>
                <w:sz w:val="26"/>
                <w:szCs w:val="26"/>
                <w:rtl/>
              </w:rPr>
              <w:br/>
              <w:t>בעניין הקטינים</w:t>
            </w:r>
          </w:p>
        </w:tc>
        <w:tc>
          <w:tcPr>
            <w:tcW w:w="5571" w:type="dxa"/>
          </w:tcPr>
          <w:p w:rsidR="006015D4" w:rsidRPr="00A50092" w:rsidRDefault="001765DE" w:rsidP="006015D4">
            <w:pPr>
              <w:suppressLineNumbers/>
              <w:spacing w:before="120" w:after="120" w:line="360" w:lineRule="auto"/>
              <w:rPr>
                <w:rFonts w:ascii="David" w:hAnsi="David"/>
                <w:b/>
                <w:bCs/>
                <w:sz w:val="26"/>
                <w:szCs w:val="26"/>
                <w:rtl/>
              </w:rPr>
            </w:pPr>
            <w:r>
              <w:rPr>
                <w:rFonts w:ascii="David" w:hAnsi="David"/>
                <w:b/>
                <w:bCs/>
                <w:sz w:val="26"/>
                <w:szCs w:val="26"/>
                <w:rtl/>
              </w:rPr>
              <w:t>ג</w:t>
            </w:r>
            <w:r>
              <w:rPr>
                <w:rFonts w:ascii="David" w:hAnsi="David" w:hint="cs"/>
                <w:b/>
                <w:bCs/>
                <w:sz w:val="26"/>
                <w:szCs w:val="26"/>
                <w:rtl/>
              </w:rPr>
              <w:t>. ד. פ</w:t>
            </w:r>
          </w:p>
          <w:p w:rsidR="006015D4" w:rsidRPr="00A50092" w:rsidRDefault="006015D4" w:rsidP="006015D4">
            <w:pPr>
              <w:suppressLineNumbers/>
              <w:spacing w:before="120" w:after="120" w:line="360" w:lineRule="auto"/>
              <w:rPr>
                <w:rFonts w:ascii="David" w:hAnsi="David"/>
                <w:b/>
                <w:bCs/>
                <w:sz w:val="26"/>
                <w:szCs w:val="26"/>
                <w:rtl/>
              </w:rPr>
            </w:pPr>
          </w:p>
          <w:p w:rsidR="006015D4" w:rsidRPr="00A50092" w:rsidRDefault="001765DE" w:rsidP="006015D4">
            <w:pPr>
              <w:suppressLineNumbers/>
              <w:spacing w:before="120" w:after="120" w:line="360" w:lineRule="auto"/>
              <w:rPr>
                <w:rFonts w:ascii="David" w:hAnsi="David"/>
                <w:b/>
                <w:bCs/>
                <w:sz w:val="26"/>
                <w:szCs w:val="26"/>
                <w:rtl/>
              </w:rPr>
            </w:pPr>
            <w:r>
              <w:rPr>
                <w:rFonts w:ascii="David" w:hAnsi="David"/>
                <w:b/>
                <w:bCs/>
                <w:sz w:val="26"/>
                <w:szCs w:val="26"/>
                <w:rtl/>
              </w:rPr>
              <w:t>ג</w:t>
            </w:r>
            <w:r>
              <w:rPr>
                <w:rFonts w:ascii="David" w:hAnsi="David" w:hint="cs"/>
                <w:b/>
                <w:bCs/>
                <w:sz w:val="26"/>
                <w:szCs w:val="26"/>
                <w:rtl/>
              </w:rPr>
              <w:t>.</w:t>
            </w:r>
            <w:r w:rsidR="006015D4" w:rsidRPr="00A50092">
              <w:rPr>
                <w:rFonts w:ascii="David" w:hAnsi="David"/>
                <w:b/>
                <w:bCs/>
                <w:sz w:val="26"/>
                <w:szCs w:val="26"/>
                <w:rtl/>
              </w:rPr>
              <w:t xml:space="preserve"> יליד 2007</w:t>
            </w:r>
          </w:p>
          <w:p w:rsidR="006015D4" w:rsidRPr="00A50092" w:rsidRDefault="001765DE" w:rsidP="006015D4">
            <w:pPr>
              <w:suppressLineNumbers/>
              <w:spacing w:before="120" w:after="120" w:line="360" w:lineRule="auto"/>
              <w:rPr>
                <w:rFonts w:ascii="David" w:hAnsi="David"/>
                <w:b/>
                <w:bCs/>
                <w:sz w:val="26"/>
                <w:szCs w:val="26"/>
                <w:rtl/>
              </w:rPr>
            </w:pPr>
            <w:r>
              <w:rPr>
                <w:rFonts w:ascii="David" w:hAnsi="David"/>
                <w:b/>
                <w:bCs/>
                <w:sz w:val="26"/>
                <w:szCs w:val="26"/>
                <w:rtl/>
              </w:rPr>
              <w:t>ד</w:t>
            </w:r>
            <w:r>
              <w:rPr>
                <w:rFonts w:ascii="David" w:hAnsi="David" w:hint="cs"/>
                <w:b/>
                <w:bCs/>
                <w:sz w:val="26"/>
                <w:szCs w:val="26"/>
                <w:rtl/>
              </w:rPr>
              <w:t>.</w:t>
            </w:r>
            <w:r w:rsidR="006015D4" w:rsidRPr="00A50092">
              <w:rPr>
                <w:rFonts w:ascii="David" w:hAnsi="David"/>
                <w:b/>
                <w:bCs/>
                <w:sz w:val="26"/>
                <w:szCs w:val="26"/>
                <w:rtl/>
              </w:rPr>
              <w:t xml:space="preserve"> ילידת 2008</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015D4" w:rsidRPr="006015D4" w:rsidRDefault="006015D4" w:rsidP="006015D4">
      <w:pPr>
        <w:spacing w:after="120" w:line="360" w:lineRule="auto"/>
        <w:ind w:left="720" w:hanging="720"/>
        <w:jc w:val="both"/>
        <w:rPr>
          <w:rFonts w:ascii="David" w:hAnsi="David"/>
          <w:noProof w:val="0"/>
          <w:rtl/>
        </w:rPr>
      </w:pPr>
      <w:bookmarkStart w:id="1" w:name="NGCSBookmark"/>
      <w:bookmarkEnd w:id="1"/>
      <w:r w:rsidRPr="006015D4">
        <w:rPr>
          <w:rFonts w:ascii="David" w:hAnsi="David"/>
          <w:noProof w:val="0"/>
          <w:rtl/>
        </w:rPr>
        <w:t>1.</w:t>
      </w:r>
      <w:r w:rsidRPr="006015D4">
        <w:rPr>
          <w:rFonts w:ascii="David" w:hAnsi="David"/>
          <w:noProof w:val="0"/>
          <w:rtl/>
        </w:rPr>
        <w:tab/>
        <w:t xml:space="preserve">עסקינן בבקשת רשות ערעור על </w:t>
      </w:r>
      <w:r w:rsidRPr="006015D4">
        <w:rPr>
          <w:rFonts w:ascii="David" w:hAnsi="David" w:hint="cs"/>
          <w:noProof w:val="0"/>
          <w:rtl/>
        </w:rPr>
        <w:t xml:space="preserve">שתי </w:t>
      </w:r>
      <w:r w:rsidRPr="006015D4">
        <w:rPr>
          <w:rFonts w:ascii="David" w:hAnsi="David"/>
          <w:noProof w:val="0"/>
          <w:rtl/>
        </w:rPr>
        <w:t>החלט</w:t>
      </w:r>
      <w:r w:rsidRPr="006015D4">
        <w:rPr>
          <w:rFonts w:ascii="David" w:hAnsi="David" w:hint="cs"/>
          <w:noProof w:val="0"/>
          <w:rtl/>
        </w:rPr>
        <w:t>ו</w:t>
      </w:r>
      <w:r w:rsidRPr="006015D4">
        <w:rPr>
          <w:rFonts w:ascii="David" w:hAnsi="David"/>
          <w:noProof w:val="0"/>
          <w:rtl/>
        </w:rPr>
        <w:t xml:space="preserve">ת בית משפט לענייני משפחה בחיפה (כב' השופטת הילה גורביץ </w:t>
      </w:r>
      <w:r w:rsidRPr="006015D4">
        <w:rPr>
          <w:rFonts w:ascii="David" w:hAnsi="David" w:hint="cs"/>
          <w:noProof w:val="0"/>
          <w:rtl/>
        </w:rPr>
        <w:t>עובדיה) שניתנו בתיק 70479-02-19 (להלן: "</w:t>
      </w:r>
      <w:r w:rsidRPr="006015D4">
        <w:rPr>
          <w:rFonts w:ascii="David" w:hAnsi="David" w:hint="cs"/>
          <w:b/>
          <w:bCs/>
          <w:noProof w:val="0"/>
          <w:rtl/>
        </w:rPr>
        <w:t>התיק</w:t>
      </w:r>
      <w:r w:rsidRPr="006015D4">
        <w:rPr>
          <w:rFonts w:ascii="David" w:hAnsi="David" w:hint="cs"/>
          <w:noProof w:val="0"/>
          <w:rtl/>
        </w:rPr>
        <w:t xml:space="preserve"> </w:t>
      </w:r>
      <w:r w:rsidRPr="006015D4">
        <w:rPr>
          <w:rFonts w:ascii="David" w:hAnsi="David" w:hint="cs"/>
          <w:b/>
          <w:bCs/>
          <w:noProof w:val="0"/>
          <w:rtl/>
        </w:rPr>
        <w:t>קמא</w:t>
      </w:r>
      <w:r w:rsidRPr="006015D4">
        <w:rPr>
          <w:rFonts w:ascii="David" w:hAnsi="David" w:hint="cs"/>
          <w:noProof w:val="0"/>
          <w:rtl/>
        </w:rPr>
        <w:t>") בימים 13.4.23 ו- 16.4.23, כפי שיפורט להלן.</w:t>
      </w:r>
    </w:p>
    <w:p w:rsidR="006015D4" w:rsidRPr="006015D4" w:rsidRDefault="006015D4" w:rsidP="006015D4">
      <w:pPr>
        <w:spacing w:after="120" w:line="360" w:lineRule="auto"/>
        <w:jc w:val="both"/>
        <w:rPr>
          <w:rFonts w:ascii="David" w:hAnsi="David"/>
          <w:b/>
          <w:bCs/>
          <w:noProof w:val="0"/>
          <w:u w:val="single"/>
          <w:rtl/>
        </w:rPr>
      </w:pPr>
    </w:p>
    <w:p w:rsidR="006015D4" w:rsidRPr="006015D4" w:rsidRDefault="006015D4" w:rsidP="006015D4">
      <w:pPr>
        <w:spacing w:after="120" w:line="360" w:lineRule="auto"/>
        <w:jc w:val="both"/>
        <w:rPr>
          <w:rFonts w:ascii="David" w:hAnsi="David"/>
          <w:b/>
          <w:bCs/>
          <w:noProof w:val="0"/>
          <w:u w:val="single"/>
          <w:rtl/>
        </w:rPr>
      </w:pPr>
      <w:r w:rsidRPr="006015D4">
        <w:rPr>
          <w:rFonts w:ascii="David" w:hAnsi="David"/>
          <w:b/>
          <w:bCs/>
          <w:noProof w:val="0"/>
          <w:u w:val="single"/>
          <w:rtl/>
        </w:rPr>
        <w:t>רקע בזעיר אנפין</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noProof w:val="0"/>
          <w:rtl/>
        </w:rPr>
        <w:t>2.</w:t>
      </w:r>
      <w:r w:rsidRPr="006015D4">
        <w:rPr>
          <w:rFonts w:ascii="David" w:hAnsi="David"/>
          <w:noProof w:val="0"/>
          <w:rtl/>
        </w:rPr>
        <w:tab/>
        <w:t>המבקש (להלן גם: "</w:t>
      </w:r>
      <w:r w:rsidRPr="006015D4">
        <w:rPr>
          <w:rFonts w:ascii="David" w:hAnsi="David"/>
          <w:b/>
          <w:bCs/>
          <w:noProof w:val="0"/>
          <w:rtl/>
        </w:rPr>
        <w:t>האב</w:t>
      </w:r>
      <w:r w:rsidRPr="006015D4">
        <w:rPr>
          <w:rFonts w:ascii="David" w:hAnsi="David"/>
          <w:noProof w:val="0"/>
          <w:rtl/>
        </w:rPr>
        <w:t>") והמשיבה (להלן גם: "</w:t>
      </w:r>
      <w:r w:rsidRPr="006015D4">
        <w:rPr>
          <w:rFonts w:ascii="David" w:hAnsi="David"/>
          <w:b/>
          <w:bCs/>
          <w:noProof w:val="0"/>
          <w:rtl/>
        </w:rPr>
        <w:t>האם</w:t>
      </w:r>
      <w:r w:rsidRPr="006015D4">
        <w:rPr>
          <w:rFonts w:ascii="David" w:hAnsi="David"/>
          <w:noProof w:val="0"/>
          <w:rtl/>
        </w:rPr>
        <w:t>"</w:t>
      </w:r>
      <w:r w:rsidRPr="006015D4">
        <w:rPr>
          <w:rFonts w:ascii="David" w:hAnsi="David" w:hint="cs"/>
          <w:noProof w:val="0"/>
          <w:rtl/>
        </w:rPr>
        <w:t>, ביחד: "</w:t>
      </w:r>
      <w:r w:rsidRPr="006015D4">
        <w:rPr>
          <w:rFonts w:ascii="David" w:hAnsi="David" w:hint="cs"/>
          <w:b/>
          <w:bCs/>
          <w:noProof w:val="0"/>
          <w:rtl/>
        </w:rPr>
        <w:t>הצדדים</w:t>
      </w:r>
      <w:r w:rsidRPr="006015D4">
        <w:rPr>
          <w:rFonts w:ascii="David" w:hAnsi="David" w:hint="cs"/>
          <w:noProof w:val="0"/>
          <w:rtl/>
        </w:rPr>
        <w:t>"</w:t>
      </w:r>
      <w:r w:rsidRPr="006015D4">
        <w:rPr>
          <w:rFonts w:ascii="David" w:hAnsi="David"/>
          <w:noProof w:val="0"/>
          <w:rtl/>
        </w:rPr>
        <w:t>) יהודים אשר נישאו זל"ז כדמו"י בשנת 2005, ומנישואיהם נולדו שני הקטינים.</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noProof w:val="0"/>
          <w:rtl/>
        </w:rPr>
        <w:t>3.</w:t>
      </w:r>
      <w:r w:rsidRPr="006015D4">
        <w:rPr>
          <w:rFonts w:ascii="David" w:hAnsi="David"/>
          <w:noProof w:val="0"/>
          <w:rtl/>
        </w:rPr>
        <w:tab/>
        <w:t xml:space="preserve">יחסי הצדדים עלו על שרטון והם נפרדו בשנת 2016 והתגרשו בשנת 2017. הקטינים היו מצויים במשמורת משותפת של הצדדים. בין הצדדים התגלעו סכסוכים קשים באשר לחינוך ולטיפול בבריאותם של הקטינים, והם שקועים בהתדיינויות משפטיות מרובות בנושאים אלו. </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4.</w:t>
      </w:r>
      <w:r w:rsidRPr="006015D4">
        <w:rPr>
          <w:rFonts w:ascii="David" w:hAnsi="David" w:hint="cs"/>
          <w:noProof w:val="0"/>
          <w:rtl/>
        </w:rPr>
        <w:tab/>
        <w:t xml:space="preserve">שני הקטינים מתמודדים עם קשיים ומטופלים תרופתית בשל כך. הקטין מאובחן על הרצף האוטיסטי והקטינה מתמודדת עם קשיים נפשיים ורגשיים על רקע חרדה ודיכאון.  </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5</w:t>
      </w:r>
      <w:r w:rsidRPr="006015D4">
        <w:rPr>
          <w:rFonts w:ascii="David" w:hAnsi="David"/>
          <w:noProof w:val="0"/>
          <w:rtl/>
        </w:rPr>
        <w:t>.</w:t>
      </w:r>
      <w:r w:rsidRPr="006015D4">
        <w:rPr>
          <w:rFonts w:ascii="David" w:hAnsi="David"/>
          <w:noProof w:val="0"/>
          <w:rtl/>
        </w:rPr>
        <w:tab/>
      </w:r>
      <w:r w:rsidRPr="006015D4">
        <w:rPr>
          <w:rFonts w:ascii="David" w:hAnsi="David" w:hint="cs"/>
          <w:noProof w:val="0"/>
          <w:rtl/>
        </w:rPr>
        <w:t xml:space="preserve">המשיבה הגישה את התובענה קמא בשנת 2019, במסגרתה ביקשה כי המשמורת על הקטינים תהא בידיה, ולמבקש יהיו זמני שהות קבועים עם הקטינים. </w:t>
      </w:r>
    </w:p>
    <w:p w:rsidR="006015D4" w:rsidRPr="006015D4" w:rsidRDefault="006015D4" w:rsidP="00536031">
      <w:pPr>
        <w:spacing w:after="120" w:line="360" w:lineRule="auto"/>
        <w:ind w:left="720" w:hanging="720"/>
        <w:jc w:val="both"/>
        <w:rPr>
          <w:rFonts w:ascii="David" w:hAnsi="David"/>
          <w:noProof w:val="0"/>
          <w:rtl/>
        </w:rPr>
      </w:pPr>
      <w:r w:rsidRPr="006015D4">
        <w:rPr>
          <w:rFonts w:ascii="David" w:hAnsi="David" w:hint="cs"/>
          <w:noProof w:val="0"/>
          <w:rtl/>
        </w:rPr>
        <w:lastRenderedPageBreak/>
        <w:t>6.</w:t>
      </w:r>
      <w:r w:rsidRPr="006015D4">
        <w:rPr>
          <w:rFonts w:ascii="David" w:hAnsi="David" w:hint="cs"/>
          <w:noProof w:val="0"/>
          <w:rtl/>
        </w:rPr>
        <w:tab/>
        <w:t xml:space="preserve">ביום 12.1.2023, הגישה המחלקה לשירותים חברתיים </w:t>
      </w:r>
      <w:r w:rsidR="00536031">
        <w:rPr>
          <w:rFonts w:ascii="David" w:hAnsi="David" w:hint="cs"/>
          <w:noProof w:val="0"/>
          <w:rtl/>
        </w:rPr>
        <w:t>ב ....</w:t>
      </w:r>
      <w:r w:rsidRPr="006015D4">
        <w:rPr>
          <w:rFonts w:ascii="David" w:hAnsi="David" w:hint="cs"/>
          <w:noProof w:val="0"/>
          <w:rtl/>
        </w:rPr>
        <w:t xml:space="preserve">, את התובענה בתיק תנ"ז 31798-01-23, להכיר בקטינה </w:t>
      </w:r>
      <w:r w:rsidR="00536031">
        <w:rPr>
          <w:rFonts w:ascii="David" w:hAnsi="David" w:hint="cs"/>
          <w:noProof w:val="0"/>
          <w:rtl/>
        </w:rPr>
        <w:t>ד'</w:t>
      </w:r>
      <w:r w:rsidRPr="006015D4">
        <w:rPr>
          <w:rFonts w:ascii="David" w:hAnsi="David" w:hint="cs"/>
          <w:noProof w:val="0"/>
          <w:rtl/>
        </w:rPr>
        <w:t xml:space="preserve"> כקטינה נזקקת, על רקע קשייה הנפשיים והתפקודיים, המושפעים, כך לעמדת אנשי המקצוע, מהסכסוך המורכב המתנהל בין הוריה, הצדדים דכאן.</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7.</w:t>
      </w:r>
      <w:r w:rsidRPr="006015D4">
        <w:rPr>
          <w:rFonts w:ascii="David" w:hAnsi="David" w:hint="cs"/>
          <w:noProof w:val="0"/>
          <w:rtl/>
        </w:rPr>
        <w:tab/>
        <w:t xml:space="preserve">מעבר לתיק הנזקקות הנ"ל, מתנהלים בין ההורים, בין היתר, תביעת אפוטרופסות (א"פ 11985-11-18) וכן תביעת משמורת (תלה"מ 70479-02-19). בימים 21.2.2023 ו- 23.2.2023 ניתנו החלטות בית המשפט קמא בתיק האפוטרופסות, לפיהן ישמעו הוכחות בתיק האפוטרופסות ובתיק המשמורת, במועד שנקבע </w:t>
      </w:r>
      <w:r w:rsidRPr="006015D4">
        <w:rPr>
          <w:rFonts w:ascii="David" w:hAnsi="David"/>
          <w:noProof w:val="0"/>
          <w:rtl/>
        </w:rPr>
        <w:t>–</w:t>
      </w:r>
      <w:r w:rsidRPr="006015D4">
        <w:rPr>
          <w:rFonts w:ascii="David" w:hAnsi="David" w:hint="cs"/>
          <w:noProof w:val="0"/>
          <w:rtl/>
        </w:rPr>
        <w:t xml:space="preserve"> 16.4.2023.</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8.</w:t>
      </w:r>
      <w:r w:rsidRPr="006015D4">
        <w:rPr>
          <w:rFonts w:ascii="David" w:hAnsi="David" w:hint="cs"/>
          <w:noProof w:val="0"/>
          <w:rtl/>
        </w:rPr>
        <w:tab/>
        <w:t>ביום 13.4.23 ניתנה החלטת בית המשפט קמא בתיק א"פ 11985-11-18, שדחתה את בקשת האפוטרופא לדין לדחיית מועד ההוכחות. במסגרת אותה החלטה נכתב כי "</w:t>
      </w:r>
      <w:r w:rsidRPr="006015D4">
        <w:rPr>
          <w:rFonts w:ascii="David" w:hAnsi="David"/>
          <w:b/>
          <w:bCs/>
          <w:noProof w:val="0"/>
          <w:rtl/>
        </w:rPr>
        <w:t>יוער, כי הדיון קבוע לשמיעת ראיות בתובענות בעניין אפוטרופסות</w:t>
      </w:r>
      <w:r w:rsidRPr="006015D4">
        <w:rPr>
          <w:rFonts w:ascii="David" w:hAnsi="David" w:hint="cs"/>
          <w:b/>
          <w:bCs/>
          <w:noProof w:val="0"/>
          <w:rtl/>
        </w:rPr>
        <w:t xml:space="preserve"> </w:t>
      </w:r>
      <w:r w:rsidRPr="006015D4">
        <w:rPr>
          <w:rFonts w:ascii="David" w:hAnsi="David"/>
          <w:b/>
          <w:bCs/>
          <w:noProof w:val="0"/>
          <w:rtl/>
        </w:rPr>
        <w:t>וזמני שהות וגם קבוע דיון בהליך התנ"ז ועל כן, גם אם תידחה</w:t>
      </w:r>
      <w:r w:rsidRPr="006015D4">
        <w:rPr>
          <w:rFonts w:ascii="David" w:hAnsi="David" w:hint="cs"/>
          <w:b/>
          <w:bCs/>
          <w:noProof w:val="0"/>
          <w:rtl/>
        </w:rPr>
        <w:t xml:space="preserve"> </w:t>
      </w:r>
      <w:r w:rsidRPr="006015D4">
        <w:rPr>
          <w:rFonts w:ascii="David" w:hAnsi="David"/>
          <w:b/>
          <w:bCs/>
          <w:noProof w:val="0"/>
          <w:rtl/>
        </w:rPr>
        <w:t>שמיעת הראיות ממילא יש לקיים דיון בתנ"ז מועד שנקבע</w:t>
      </w:r>
      <w:r w:rsidRPr="006015D4">
        <w:rPr>
          <w:rFonts w:ascii="David" w:hAnsi="David" w:hint="cs"/>
          <w:noProof w:val="0"/>
          <w:rtl/>
        </w:rPr>
        <w:t>"</w:t>
      </w:r>
      <w:r w:rsidRPr="006015D4">
        <w:rPr>
          <w:rFonts w:ascii="David" w:hAnsi="David"/>
          <w:noProof w:val="0"/>
          <w:rtl/>
        </w:rPr>
        <w:t>.</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9.</w:t>
      </w:r>
      <w:r w:rsidRPr="006015D4">
        <w:rPr>
          <w:rFonts w:ascii="David" w:hAnsi="David" w:hint="cs"/>
          <w:noProof w:val="0"/>
          <w:rtl/>
        </w:rPr>
        <w:tab/>
        <w:t xml:space="preserve">באותו יום, 13.4.23, נקלטה לתיק קמא (תלה"מ 70479-02-19) בקשתן המשותפת של העו"ס לס"ד ושל העו"ס לעניין חוק הנוער, בקשה שהוגשה ביום 4.4.23 (עובר לפגרת הפסח). במסגרתה הבקשה, ביקשו העו"ס לדחות את מועד מתן עדותן למועד אחר, מאחר שבמועד שנקבע </w:t>
      </w:r>
      <w:r w:rsidRPr="006015D4">
        <w:rPr>
          <w:rFonts w:ascii="David" w:hAnsi="David"/>
          <w:noProof w:val="0"/>
          <w:rtl/>
        </w:rPr>
        <w:t>–</w:t>
      </w:r>
      <w:r w:rsidRPr="006015D4">
        <w:rPr>
          <w:rFonts w:ascii="David" w:hAnsi="David" w:hint="cs"/>
          <w:noProof w:val="0"/>
          <w:rtl/>
        </w:rPr>
        <w:t xml:space="preserve"> 16.4.23 </w:t>
      </w:r>
      <w:r w:rsidRPr="006015D4">
        <w:rPr>
          <w:rFonts w:ascii="David" w:hAnsi="David"/>
          <w:noProof w:val="0"/>
          <w:rtl/>
        </w:rPr>
        <w:t>–</w:t>
      </w:r>
      <w:r w:rsidRPr="006015D4">
        <w:rPr>
          <w:rFonts w:ascii="David" w:hAnsi="David" w:hint="cs"/>
          <w:noProof w:val="0"/>
          <w:rtl/>
        </w:rPr>
        <w:t xml:space="preserve"> משרדי המועצה האזורית, ובכללם האגף לשירותים חברתיים בו הן מועסקות, יהיו סגורים לרגל חופשה מרוכזת, ולא תתאפשר הכנתן של העו"ס לעדות.</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10.</w:t>
      </w:r>
      <w:r w:rsidRPr="006015D4">
        <w:rPr>
          <w:rFonts w:ascii="David" w:hAnsi="David" w:hint="cs"/>
          <w:noProof w:val="0"/>
          <w:rtl/>
        </w:rPr>
        <w:tab/>
      </w:r>
      <w:r w:rsidRPr="006015D4">
        <w:rPr>
          <w:rFonts w:ascii="David" w:hAnsi="David" w:hint="cs"/>
          <w:noProof w:val="0"/>
          <w:u w:val="single"/>
          <w:rtl/>
        </w:rPr>
        <w:t>על גבי בקשה זו, ניתנה החלטת בית המשפט קמא בו ביום, כהאי לישנא</w:t>
      </w:r>
      <w:r w:rsidRPr="006015D4">
        <w:rPr>
          <w:rFonts w:ascii="David" w:hAnsi="David" w:hint="cs"/>
          <w:noProof w:val="0"/>
          <w:rtl/>
        </w:rPr>
        <w:t>:</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noProof w:val="0"/>
          <w:rtl/>
        </w:rPr>
        <w:tab/>
      </w:r>
      <w:r w:rsidRPr="006015D4">
        <w:rPr>
          <w:rFonts w:ascii="David" w:hAnsi="David"/>
          <w:noProof w:val="0"/>
          <w:rtl/>
        </w:rPr>
        <w:tab/>
      </w:r>
      <w:r w:rsidRPr="006015D4">
        <w:rPr>
          <w:rFonts w:ascii="David" w:hAnsi="David" w:hint="cs"/>
          <w:noProof w:val="0"/>
          <w:rtl/>
        </w:rPr>
        <w:t>"</w:t>
      </w:r>
      <w:r w:rsidRPr="006015D4">
        <w:rPr>
          <w:rFonts w:ascii="David" w:hAnsi="David" w:hint="cs"/>
          <w:b/>
          <w:bCs/>
          <w:noProof w:val="0"/>
          <w:rtl/>
        </w:rPr>
        <w:t>לעיון הצדדים והאפוטרופוס לדין</w:t>
      </w:r>
      <w:r w:rsidRPr="006015D4">
        <w:rPr>
          <w:rFonts w:ascii="David" w:hAnsi="David" w:hint="cs"/>
          <w:noProof w:val="0"/>
          <w:rtl/>
        </w:rPr>
        <w:t>".</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noProof w:val="0"/>
          <w:rtl/>
        </w:rPr>
        <w:tab/>
      </w:r>
      <w:r w:rsidRPr="006015D4">
        <w:rPr>
          <w:rFonts w:ascii="David" w:hAnsi="David" w:hint="cs"/>
          <w:noProof w:val="0"/>
          <w:rtl/>
        </w:rPr>
        <w:t>בגין החלטה זו, הוגשה בקשת רשות הערעור דנן.</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11.</w:t>
      </w:r>
      <w:r w:rsidRPr="006015D4">
        <w:rPr>
          <w:rFonts w:ascii="David" w:hAnsi="David" w:hint="cs"/>
          <w:noProof w:val="0"/>
          <w:rtl/>
        </w:rPr>
        <w:tab/>
        <w:t>ביום 16.4.23 התקיים דיון בבית משפט קמא (להלן: "</w:t>
      </w:r>
      <w:r w:rsidRPr="006015D4">
        <w:rPr>
          <w:rFonts w:ascii="David" w:hAnsi="David" w:hint="cs"/>
          <w:b/>
          <w:bCs/>
          <w:noProof w:val="0"/>
          <w:rtl/>
        </w:rPr>
        <w:t>הדיון</w:t>
      </w:r>
      <w:r w:rsidRPr="006015D4">
        <w:rPr>
          <w:rFonts w:ascii="David" w:hAnsi="David" w:hint="cs"/>
          <w:noProof w:val="0"/>
          <w:rtl/>
        </w:rPr>
        <w:t xml:space="preserve">"). הדיון תועד בדרך של הקלטה, </w:t>
      </w:r>
      <w:r w:rsidRPr="006015D4">
        <w:rPr>
          <w:rFonts w:ascii="David" w:hAnsi="David"/>
          <w:noProof w:val="0"/>
          <w:rtl/>
        </w:rPr>
        <w:t>במסגרת פיילוט שמקיימת מערכת בתי המשפט ובהתאם לסעיף 68א לחוק בתי המשפט [נוסח משולב], התשמ"ד-1984</w:t>
      </w:r>
      <w:r w:rsidRPr="006015D4">
        <w:rPr>
          <w:rFonts w:ascii="David" w:hAnsi="David" w:hint="cs"/>
          <w:noProof w:val="0"/>
          <w:rtl/>
        </w:rPr>
        <w:t>.</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12.</w:t>
      </w:r>
      <w:r w:rsidRPr="006015D4">
        <w:rPr>
          <w:rFonts w:ascii="David" w:hAnsi="David" w:hint="cs"/>
          <w:noProof w:val="0"/>
          <w:rtl/>
        </w:rPr>
        <w:tab/>
        <w:t>במועד הגשת בקשת רשות הערעור דנן וכן במועד כתיבת החלטתי זו, טרם הגיע תמלול הדיון לתיק קמא. על כן האזנתי להקלטת הדיון משך מספר דקות, על מנת להתרשם במישרין מטענות המבקש בכל הקשור להחלטת בית המשפט קמא.</w:t>
      </w:r>
    </w:p>
    <w:p w:rsidR="006015D4" w:rsidRDefault="006015D4" w:rsidP="009A265A">
      <w:pPr>
        <w:spacing w:after="120" w:line="360" w:lineRule="auto"/>
        <w:ind w:left="720" w:hanging="720"/>
        <w:jc w:val="both"/>
        <w:rPr>
          <w:rFonts w:ascii="David" w:hAnsi="David"/>
          <w:noProof w:val="0"/>
          <w:rtl/>
        </w:rPr>
      </w:pPr>
      <w:r w:rsidRPr="006015D4">
        <w:rPr>
          <w:rFonts w:ascii="David" w:hAnsi="David" w:hint="cs"/>
          <w:noProof w:val="0"/>
          <w:rtl/>
        </w:rPr>
        <w:t>13.</w:t>
      </w:r>
      <w:r w:rsidRPr="006015D4">
        <w:rPr>
          <w:rFonts w:ascii="David" w:hAnsi="David" w:hint="cs"/>
          <w:noProof w:val="0"/>
          <w:rtl/>
        </w:rPr>
        <w:tab/>
        <w:t>ההאזנה להקלטת הדיון מלמדת, כי המבקש טען בפתח הדיון כי הדיון נקבע למעשה בתיקי האפוטרופסות והמשמורת וכי אין לקיים דיון בתיק הנזקקות.</w:t>
      </w:r>
    </w:p>
    <w:p w:rsidR="009A265A" w:rsidRDefault="009A265A" w:rsidP="009A265A">
      <w:pPr>
        <w:spacing w:after="120" w:line="360" w:lineRule="auto"/>
        <w:ind w:left="720" w:hanging="720"/>
        <w:jc w:val="both"/>
        <w:rPr>
          <w:rFonts w:ascii="David" w:hAnsi="David"/>
          <w:noProof w:val="0"/>
          <w:rtl/>
        </w:rPr>
      </w:pPr>
    </w:p>
    <w:p w:rsidR="009A265A" w:rsidRDefault="009A265A" w:rsidP="009A265A">
      <w:pPr>
        <w:spacing w:after="120" w:line="360" w:lineRule="auto"/>
        <w:ind w:left="720" w:hanging="720"/>
        <w:jc w:val="both"/>
        <w:rPr>
          <w:rFonts w:ascii="David" w:hAnsi="David"/>
          <w:noProof w:val="0"/>
          <w:rtl/>
        </w:rPr>
      </w:pPr>
    </w:p>
    <w:p w:rsidR="009A265A" w:rsidRPr="006015D4" w:rsidRDefault="009A265A" w:rsidP="009A265A">
      <w:pPr>
        <w:spacing w:after="120" w:line="360" w:lineRule="auto"/>
        <w:ind w:left="720" w:hanging="720"/>
        <w:jc w:val="both"/>
        <w:rPr>
          <w:rFonts w:ascii="David" w:hAnsi="David"/>
          <w:noProof w:val="0"/>
          <w:rtl/>
        </w:rPr>
      </w:pP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noProof w:val="0"/>
          <w:rtl/>
        </w:rPr>
        <w:lastRenderedPageBreak/>
        <w:tab/>
      </w:r>
      <w:r w:rsidRPr="006015D4">
        <w:rPr>
          <w:rFonts w:ascii="David" w:hAnsi="David" w:hint="cs"/>
          <w:noProof w:val="0"/>
          <w:u w:val="single"/>
          <w:rtl/>
        </w:rPr>
        <w:t>בית המשפט קבע בהחלטתו בעניין זה כדלקמן</w:t>
      </w:r>
      <w:r w:rsidRPr="006015D4">
        <w:rPr>
          <w:rFonts w:ascii="David" w:hAnsi="David" w:hint="cs"/>
          <w:noProof w:val="0"/>
          <w:rtl/>
        </w:rPr>
        <w:t>:</w:t>
      </w:r>
    </w:p>
    <w:p w:rsidR="006015D4" w:rsidRPr="006015D4" w:rsidRDefault="006015D4" w:rsidP="006015D4">
      <w:pPr>
        <w:spacing w:after="120" w:line="360" w:lineRule="auto"/>
        <w:ind w:left="1174" w:right="567" w:hanging="720"/>
        <w:jc w:val="both"/>
        <w:rPr>
          <w:rFonts w:ascii="David" w:hAnsi="David"/>
          <w:b/>
          <w:bCs/>
          <w:noProof w:val="0"/>
          <w:rtl/>
        </w:rPr>
      </w:pPr>
      <w:r w:rsidRPr="006015D4">
        <w:rPr>
          <w:rFonts w:ascii="David" w:hAnsi="David"/>
          <w:noProof w:val="0"/>
          <w:rtl/>
        </w:rPr>
        <w:tab/>
      </w:r>
      <w:r w:rsidRPr="006015D4">
        <w:rPr>
          <w:rFonts w:ascii="David" w:hAnsi="David" w:hint="cs"/>
          <w:noProof w:val="0"/>
          <w:rtl/>
        </w:rPr>
        <w:t>"</w:t>
      </w:r>
      <w:r w:rsidRPr="006015D4">
        <w:rPr>
          <w:rFonts w:ascii="David" w:hAnsi="David"/>
          <w:b/>
          <w:bCs/>
          <w:noProof w:val="0"/>
          <w:rtl/>
        </w:rPr>
        <w:t>בשלב זה אני קוטעת את דברי האב. כפי שהוריתי בהחלטה מיום 13.04.2023, מאחר וממילא כל הצדדים זומנו להיום, מתקיים היום מעין קדם משפט בתיק הנזקקות על-מנת לראות כיצד לקדם עניינים לטובת הקטינה. משיכת ההליכים אינה טובת הקטינה. כל הצדדים הרלוונטיים נמצאים כעת באולם ועל-כן יש מקום לשמוע מפי עו"ס חוק נוער כיצד יש לקדם את הליך הנזקקות ומה נעשה עד כה. לאחר שאשמע את עו"ס חוק נוער אבחן מתן הוראות נוספות, אך אין ספק לטעמי כי בשלב הזה, כאשר כולם נוכחים פה, טובת הקטינה לקדם את תיק הנזקקות ולבחון את הדברים הנדרשים כך שגם אם הזימון לדיון נעשה במועד קצר, היינו לפי החלטה מיום 13.04.2023, יש לבחון את הדברים ואין צורך בעת הזו לדחותו.</w:t>
      </w:r>
    </w:p>
    <w:p w:rsidR="006015D4" w:rsidRPr="006015D4" w:rsidRDefault="006015D4" w:rsidP="006015D4">
      <w:pPr>
        <w:spacing w:after="120" w:line="360" w:lineRule="auto"/>
        <w:ind w:left="1174" w:right="567" w:hanging="720"/>
        <w:jc w:val="both"/>
        <w:rPr>
          <w:rFonts w:ascii="David" w:hAnsi="David"/>
          <w:noProof w:val="0"/>
          <w:rtl/>
        </w:rPr>
      </w:pPr>
      <w:r w:rsidRPr="006015D4">
        <w:rPr>
          <w:rFonts w:ascii="David" w:hAnsi="David"/>
          <w:b/>
          <w:bCs/>
          <w:noProof w:val="0"/>
          <w:rtl/>
        </w:rPr>
        <w:tab/>
        <w:t>אשר לטענת המבקש כי נוכחים באולם צדדים נוספים, אם עומד המבקש על טענות אלו – ב"כ היועמ"ש ועו"ס לסדרי דין ימתינו מחוץ לאולם</w:t>
      </w:r>
      <w:r w:rsidRPr="006015D4">
        <w:rPr>
          <w:rFonts w:ascii="David" w:hAnsi="David" w:hint="cs"/>
          <w:noProof w:val="0"/>
          <w:rtl/>
        </w:rPr>
        <w:t>"</w:t>
      </w:r>
      <w:r w:rsidRPr="006015D4">
        <w:rPr>
          <w:rFonts w:ascii="David" w:hAnsi="David"/>
          <w:noProof w:val="0"/>
          <w:rtl/>
        </w:rPr>
        <w:t>.</w:t>
      </w: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14.</w:t>
      </w:r>
      <w:r w:rsidRPr="006015D4">
        <w:rPr>
          <w:rFonts w:ascii="David" w:hAnsi="David" w:hint="cs"/>
          <w:noProof w:val="0"/>
          <w:rtl/>
        </w:rPr>
        <w:tab/>
      </w:r>
      <w:r w:rsidRPr="006015D4">
        <w:rPr>
          <w:rFonts w:ascii="David" w:hAnsi="David" w:hint="cs"/>
          <w:noProof w:val="0"/>
          <w:u w:val="single"/>
          <w:rtl/>
        </w:rPr>
        <w:t>בסוף הדיון ניתנה החלטת בית המשפט קמא כהאי לישנא</w:t>
      </w:r>
      <w:r w:rsidRPr="006015D4">
        <w:rPr>
          <w:rFonts w:ascii="David" w:hAnsi="David" w:hint="cs"/>
          <w:noProof w:val="0"/>
          <w:rtl/>
        </w:rPr>
        <w:t>:</w:t>
      </w:r>
    </w:p>
    <w:p w:rsidR="006015D4" w:rsidRPr="006015D4" w:rsidRDefault="006015D4" w:rsidP="006015D4">
      <w:pPr>
        <w:spacing w:after="120" w:line="360" w:lineRule="auto"/>
        <w:ind w:left="1797" w:right="567" w:hanging="720"/>
        <w:jc w:val="both"/>
        <w:rPr>
          <w:rFonts w:ascii="David" w:hAnsi="David"/>
          <w:b/>
          <w:bCs/>
          <w:noProof w:val="0"/>
          <w:rtl/>
        </w:rPr>
      </w:pPr>
      <w:r w:rsidRPr="006015D4">
        <w:rPr>
          <w:rFonts w:ascii="David" w:hAnsi="David" w:hint="cs"/>
          <w:b/>
          <w:bCs/>
          <w:noProof w:val="0"/>
          <w:rtl/>
        </w:rPr>
        <w:t>"</w:t>
      </w:r>
      <w:r w:rsidRPr="006015D4">
        <w:rPr>
          <w:rFonts w:ascii="David" w:hAnsi="David"/>
          <w:b/>
          <w:bCs/>
          <w:noProof w:val="0"/>
          <w:rtl/>
        </w:rPr>
        <w:t>דיון הוכחות בכלל התיקים התלויים ועומדים יתקיים בימים:</w:t>
      </w:r>
    </w:p>
    <w:p w:rsidR="006015D4" w:rsidRPr="006015D4" w:rsidRDefault="006015D4" w:rsidP="006015D4">
      <w:pPr>
        <w:spacing w:after="120" w:line="360" w:lineRule="auto"/>
        <w:ind w:left="1174" w:right="567" w:hanging="720"/>
        <w:jc w:val="both"/>
        <w:rPr>
          <w:rFonts w:ascii="David" w:hAnsi="David"/>
          <w:b/>
          <w:bCs/>
          <w:noProof w:val="0"/>
          <w:rtl/>
        </w:rPr>
      </w:pPr>
      <w:r w:rsidRPr="006015D4">
        <w:rPr>
          <w:rFonts w:ascii="David" w:hAnsi="David"/>
          <w:b/>
          <w:bCs/>
          <w:noProof w:val="0"/>
          <w:rtl/>
        </w:rPr>
        <w:tab/>
        <w:t>ביום 30.04.2023 שעה 11:30. במועד זה ייחקרו ד"ר טטיאנה אברט, עו"ס נוער וההורים.</w:t>
      </w:r>
    </w:p>
    <w:p w:rsidR="006015D4" w:rsidRPr="006015D4" w:rsidRDefault="006015D4" w:rsidP="006015D4">
      <w:pPr>
        <w:spacing w:after="120" w:line="360" w:lineRule="auto"/>
        <w:ind w:left="1174" w:right="567" w:hanging="720"/>
        <w:jc w:val="both"/>
        <w:rPr>
          <w:rFonts w:ascii="David" w:hAnsi="David"/>
          <w:b/>
          <w:bCs/>
          <w:noProof w:val="0"/>
          <w:rtl/>
        </w:rPr>
      </w:pPr>
      <w:r w:rsidRPr="006015D4">
        <w:rPr>
          <w:rFonts w:ascii="David" w:hAnsi="David"/>
          <w:b/>
          <w:bCs/>
          <w:noProof w:val="0"/>
          <w:rtl/>
        </w:rPr>
        <w:tab/>
        <w:t>ביום 11.05.2023 שעה 12:00. במועד זה י</w:t>
      </w:r>
      <w:r w:rsidR="00536031">
        <w:rPr>
          <w:rFonts w:ascii="David" w:hAnsi="David"/>
          <w:b/>
          <w:bCs/>
          <w:noProof w:val="0"/>
          <w:rtl/>
        </w:rPr>
        <w:t>יחקרו עו"ס לסדרי דין, מר א</w:t>
      </w:r>
      <w:r w:rsidR="00536031">
        <w:rPr>
          <w:rFonts w:ascii="David" w:hAnsi="David" w:hint="cs"/>
          <w:b/>
          <w:bCs/>
          <w:noProof w:val="0"/>
          <w:rtl/>
        </w:rPr>
        <w:t>. ק.</w:t>
      </w:r>
      <w:r w:rsidRPr="006015D4">
        <w:rPr>
          <w:rFonts w:ascii="David" w:hAnsi="David"/>
          <w:b/>
          <w:bCs/>
          <w:noProof w:val="0"/>
          <w:rtl/>
        </w:rPr>
        <w:t xml:space="preserve"> ושתי עדות</w:t>
      </w:r>
      <w:r w:rsidRPr="006015D4">
        <w:rPr>
          <w:rFonts w:ascii="David" w:hAnsi="David" w:hint="cs"/>
          <w:b/>
          <w:bCs/>
          <w:noProof w:val="0"/>
          <w:rtl/>
        </w:rPr>
        <w:t xml:space="preserve"> </w:t>
      </w:r>
      <w:r w:rsidRPr="006015D4">
        <w:rPr>
          <w:rFonts w:ascii="David" w:hAnsi="David"/>
          <w:b/>
          <w:bCs/>
          <w:noProof w:val="0"/>
          <w:rtl/>
        </w:rPr>
        <w:t>(מורות, מאיה וענת) לגביהן תינתן החלטה בהמשך. לבקשת ב"כ היועמ"ש, הדיון יסתיים בשעה 15:00. על הצדדים לתכנן חקירותיהם בהתאם.</w:t>
      </w:r>
    </w:p>
    <w:p w:rsidR="006015D4" w:rsidRPr="006015D4" w:rsidRDefault="006015D4" w:rsidP="006015D4">
      <w:pPr>
        <w:spacing w:after="120" w:line="360" w:lineRule="auto"/>
        <w:ind w:left="1174" w:right="567" w:hanging="720"/>
        <w:jc w:val="both"/>
        <w:rPr>
          <w:rFonts w:ascii="David" w:hAnsi="David"/>
          <w:b/>
          <w:bCs/>
          <w:noProof w:val="0"/>
          <w:rtl/>
        </w:rPr>
      </w:pPr>
      <w:r w:rsidRPr="006015D4">
        <w:rPr>
          <w:rFonts w:ascii="David" w:hAnsi="David"/>
          <w:b/>
          <w:bCs/>
          <w:noProof w:val="0"/>
          <w:rtl/>
        </w:rPr>
        <w:tab/>
        <w:t>אם האב עומד על בקשתו לזמן שתי עדות, מורות בשם מאיה וענת, עליו להגיש בקשה לזימונן עד ליום 23.04.2023. ככל שזימונן יאושר, יהיה על האב למסור את הזימון בידן – וזאת נוכח סעד הזמנים הקצר.</w:t>
      </w:r>
    </w:p>
    <w:p w:rsidR="006015D4" w:rsidRPr="006015D4" w:rsidRDefault="006015D4" w:rsidP="00536031">
      <w:pPr>
        <w:spacing w:after="120" w:line="360" w:lineRule="auto"/>
        <w:ind w:left="1174" w:right="567" w:hanging="720"/>
        <w:jc w:val="both"/>
        <w:rPr>
          <w:rFonts w:ascii="David" w:hAnsi="David"/>
          <w:b/>
          <w:bCs/>
          <w:noProof w:val="0"/>
          <w:rtl/>
        </w:rPr>
      </w:pPr>
      <w:r w:rsidRPr="006015D4">
        <w:rPr>
          <w:rFonts w:ascii="David" w:hAnsi="David"/>
          <w:b/>
          <w:bCs/>
          <w:noProof w:val="0"/>
          <w:rtl/>
        </w:rPr>
        <w:tab/>
        <w:t xml:space="preserve">המזכירות תנפיק זימונים מעודכנים לד"ר אברט (ליום 30.04.2023) ולמר </w:t>
      </w:r>
      <w:r w:rsidR="00536031">
        <w:rPr>
          <w:rFonts w:ascii="David" w:hAnsi="David" w:hint="cs"/>
          <w:b/>
          <w:bCs/>
          <w:noProof w:val="0"/>
          <w:rtl/>
        </w:rPr>
        <w:t>א. ק</w:t>
      </w:r>
      <w:r w:rsidRPr="006015D4">
        <w:rPr>
          <w:rFonts w:ascii="David" w:hAnsi="David"/>
          <w:b/>
          <w:bCs/>
          <w:noProof w:val="0"/>
          <w:rtl/>
        </w:rPr>
        <w:t xml:space="preserve"> (ליום 11.05.2023). הפקדונות שהופקדו ישמשו גם להנפקת זימונים אלה</w:t>
      </w:r>
      <w:r w:rsidRPr="006015D4">
        <w:rPr>
          <w:rFonts w:ascii="David" w:hAnsi="David" w:hint="cs"/>
          <w:b/>
          <w:bCs/>
          <w:noProof w:val="0"/>
          <w:rtl/>
        </w:rPr>
        <w:t>"</w:t>
      </w:r>
      <w:r w:rsidRPr="006015D4">
        <w:rPr>
          <w:rFonts w:ascii="David" w:hAnsi="David"/>
          <w:b/>
          <w:bCs/>
          <w:noProof w:val="0"/>
          <w:rtl/>
        </w:rPr>
        <w:t>.</w:t>
      </w:r>
    </w:p>
    <w:p w:rsidR="006015D4" w:rsidRDefault="006015D4" w:rsidP="009A265A">
      <w:pPr>
        <w:spacing w:after="120" w:line="360" w:lineRule="auto"/>
        <w:ind w:left="720" w:hanging="720"/>
        <w:jc w:val="both"/>
        <w:rPr>
          <w:rFonts w:ascii="David" w:hAnsi="David"/>
          <w:noProof w:val="0"/>
          <w:rtl/>
        </w:rPr>
      </w:pPr>
      <w:r w:rsidRPr="006015D4">
        <w:rPr>
          <w:rFonts w:ascii="David" w:hAnsi="David" w:hint="cs"/>
          <w:noProof w:val="0"/>
          <w:rtl/>
        </w:rPr>
        <w:t>אף בגין החלטה זו, הוגשה בקשת רשות הערעור דנן.</w:t>
      </w:r>
      <w:r w:rsidRPr="006015D4">
        <w:rPr>
          <w:rFonts w:ascii="David" w:hAnsi="David"/>
          <w:noProof w:val="0"/>
          <w:rtl/>
        </w:rPr>
        <w:tab/>
      </w:r>
    </w:p>
    <w:p w:rsidR="006015D4" w:rsidRDefault="006015D4" w:rsidP="006015D4">
      <w:pPr>
        <w:spacing w:after="120" w:line="360" w:lineRule="auto"/>
        <w:ind w:left="720" w:hanging="720"/>
        <w:jc w:val="both"/>
        <w:rPr>
          <w:rFonts w:ascii="David" w:hAnsi="David"/>
          <w:noProof w:val="0"/>
          <w:rtl/>
        </w:rPr>
      </w:pPr>
    </w:p>
    <w:p w:rsidR="006015D4" w:rsidRPr="006015D4" w:rsidRDefault="006015D4" w:rsidP="006015D4">
      <w:pPr>
        <w:spacing w:after="120" w:line="360" w:lineRule="auto"/>
        <w:jc w:val="both"/>
        <w:rPr>
          <w:rFonts w:ascii="David" w:hAnsi="David"/>
          <w:b/>
          <w:bCs/>
          <w:noProof w:val="0"/>
          <w:u w:val="single"/>
          <w:rtl/>
        </w:rPr>
      </w:pPr>
      <w:r w:rsidRPr="006015D4">
        <w:rPr>
          <w:rFonts w:ascii="David" w:hAnsi="David"/>
          <w:b/>
          <w:bCs/>
          <w:noProof w:val="0"/>
          <w:u w:val="single"/>
          <w:rtl/>
        </w:rPr>
        <w:t xml:space="preserve">טענות המבקש בבקשת רשות הערעור </w:t>
      </w:r>
    </w:p>
    <w:p w:rsidR="006015D4" w:rsidRDefault="006015D4" w:rsidP="006015D4">
      <w:pPr>
        <w:spacing w:after="120" w:line="360" w:lineRule="auto"/>
        <w:ind w:left="720" w:hanging="720"/>
        <w:jc w:val="both"/>
        <w:rPr>
          <w:rFonts w:ascii="David" w:hAnsi="David"/>
          <w:noProof w:val="0"/>
          <w:rtl/>
        </w:rPr>
      </w:pPr>
      <w:r w:rsidRPr="006015D4">
        <w:rPr>
          <w:rFonts w:ascii="David" w:hAnsi="David" w:hint="cs"/>
          <w:noProof w:val="0"/>
          <w:rtl/>
        </w:rPr>
        <w:t>15</w:t>
      </w:r>
      <w:r w:rsidRPr="006015D4">
        <w:rPr>
          <w:rFonts w:ascii="David" w:hAnsi="David"/>
          <w:noProof w:val="0"/>
          <w:rtl/>
        </w:rPr>
        <w:t>.</w:t>
      </w:r>
      <w:r w:rsidRPr="006015D4">
        <w:rPr>
          <w:rFonts w:ascii="David" w:hAnsi="David"/>
          <w:noProof w:val="0"/>
          <w:rtl/>
        </w:rPr>
        <w:tab/>
      </w:r>
      <w:r w:rsidRPr="006015D4">
        <w:rPr>
          <w:rFonts w:ascii="David" w:hAnsi="David"/>
          <w:noProof w:val="0"/>
          <w:u w:val="single"/>
          <w:rtl/>
        </w:rPr>
        <w:t>להלן טענות</w:t>
      </w:r>
      <w:r w:rsidRPr="006015D4">
        <w:rPr>
          <w:rFonts w:ascii="David" w:hAnsi="David" w:hint="cs"/>
          <w:noProof w:val="0"/>
          <w:u w:val="single"/>
          <w:rtl/>
        </w:rPr>
        <w:t xml:space="preserve"> המבקש </w:t>
      </w:r>
      <w:r w:rsidRPr="006015D4">
        <w:rPr>
          <w:rFonts w:ascii="David" w:hAnsi="David"/>
          <w:noProof w:val="0"/>
          <w:u w:val="single"/>
          <w:rtl/>
        </w:rPr>
        <w:t>בתמצית</w:t>
      </w:r>
      <w:r w:rsidRPr="006015D4">
        <w:rPr>
          <w:rFonts w:ascii="David" w:hAnsi="David"/>
          <w:noProof w:val="0"/>
          <w:rtl/>
        </w:rPr>
        <w:t>:</w:t>
      </w:r>
    </w:p>
    <w:p w:rsidR="009A265A" w:rsidRDefault="009A265A" w:rsidP="006015D4">
      <w:pPr>
        <w:spacing w:after="120" w:line="360" w:lineRule="auto"/>
        <w:ind w:left="720" w:hanging="720"/>
        <w:jc w:val="both"/>
        <w:rPr>
          <w:rFonts w:ascii="David" w:hAnsi="David"/>
          <w:noProof w:val="0"/>
          <w:rtl/>
        </w:rPr>
      </w:pPr>
    </w:p>
    <w:p w:rsidR="009A265A" w:rsidRPr="006015D4" w:rsidRDefault="009A265A" w:rsidP="006015D4">
      <w:pPr>
        <w:spacing w:after="120" w:line="360" w:lineRule="auto"/>
        <w:ind w:left="720" w:hanging="720"/>
        <w:jc w:val="both"/>
        <w:rPr>
          <w:rFonts w:ascii="David" w:hAnsi="David"/>
          <w:noProof w:val="0"/>
          <w:rtl/>
        </w:rPr>
      </w:pPr>
    </w:p>
    <w:p w:rsidR="006015D4" w:rsidRPr="006015D4" w:rsidRDefault="006015D4" w:rsidP="006015D4">
      <w:pPr>
        <w:spacing w:after="120" w:line="360" w:lineRule="auto"/>
        <w:ind w:left="720" w:hanging="720"/>
        <w:jc w:val="both"/>
        <w:rPr>
          <w:rFonts w:ascii="David" w:hAnsi="David"/>
          <w:noProof w:val="0"/>
          <w:rtl/>
        </w:rPr>
      </w:pPr>
      <w:r w:rsidRPr="006015D4">
        <w:rPr>
          <w:rFonts w:ascii="David" w:hAnsi="David"/>
          <w:noProof w:val="0"/>
          <w:rtl/>
        </w:rPr>
        <w:lastRenderedPageBreak/>
        <w:tab/>
      </w:r>
      <w:r w:rsidRPr="006015D4">
        <w:rPr>
          <w:rFonts w:ascii="David" w:hAnsi="David" w:hint="cs"/>
          <w:noProof w:val="0"/>
          <w:u w:val="single"/>
          <w:rtl/>
        </w:rPr>
        <w:t>בכל הקשור להחלטה קמא מיום 13.4.23</w:t>
      </w:r>
      <w:r w:rsidRPr="006015D4">
        <w:rPr>
          <w:rFonts w:ascii="David" w:hAnsi="David" w:hint="cs"/>
          <w:noProof w:val="0"/>
          <w:rtl/>
        </w:rPr>
        <w:t>:</w:t>
      </w:r>
    </w:p>
    <w:p w:rsidR="006015D4" w:rsidRPr="006015D4" w:rsidRDefault="006015D4" w:rsidP="006015D4">
      <w:pPr>
        <w:spacing w:after="120" w:line="360" w:lineRule="auto"/>
        <w:ind w:left="1440" w:hanging="720"/>
        <w:jc w:val="both"/>
        <w:rPr>
          <w:rFonts w:ascii="David" w:eastAsia="Calibri" w:hAnsi="David"/>
          <w:noProof w:val="0"/>
          <w:rtl/>
        </w:rPr>
      </w:pPr>
      <w:r w:rsidRPr="006015D4">
        <w:rPr>
          <w:rFonts w:ascii="David" w:hAnsi="David"/>
          <w:noProof w:val="0"/>
          <w:rtl/>
        </w:rPr>
        <w:t>א.</w:t>
      </w:r>
      <w:r w:rsidRPr="006015D4">
        <w:rPr>
          <w:rFonts w:ascii="David" w:hAnsi="David"/>
          <w:noProof w:val="0"/>
          <w:rtl/>
        </w:rPr>
        <w:tab/>
      </w:r>
      <w:r w:rsidRPr="006015D4">
        <w:rPr>
          <w:rFonts w:ascii="David" w:hAnsi="David" w:hint="cs"/>
          <w:noProof w:val="0"/>
          <w:rtl/>
        </w:rPr>
        <w:t>מדובר בהחלטה שניתנה על בקשתן של העו"ס לס"ד והעו"ס לח"נ, ולא בהודעה טכנית</w:t>
      </w:r>
      <w:r w:rsidRPr="006015D4">
        <w:rPr>
          <w:rFonts w:ascii="David" w:eastAsia="Calibri" w:hAnsi="David" w:hint="cs"/>
          <w:noProof w:val="0"/>
          <w:rtl/>
        </w:rPr>
        <w:t>. על בית משפט קמא היה ליתן החלטה לגופה של בקשה ולא רק "להעביר לעיון". משלא עשה כן, חרף חובתו להחליט בבקשה האמורה, נפלה שגגה תחת בית משפט קמא, שגרמה להגעתן של שתי העו"ס לדיון מתוך טעות, ולבזבוז זמנן של העו"ס.</w:t>
      </w:r>
    </w:p>
    <w:p w:rsidR="006015D4" w:rsidRPr="006015D4" w:rsidRDefault="006015D4" w:rsidP="006015D4">
      <w:pPr>
        <w:spacing w:after="120" w:line="360" w:lineRule="auto"/>
        <w:ind w:left="1440" w:hanging="720"/>
        <w:jc w:val="both"/>
        <w:rPr>
          <w:rFonts w:ascii="David" w:eastAsia="Calibri" w:hAnsi="David"/>
          <w:noProof w:val="0"/>
          <w:rtl/>
        </w:rPr>
      </w:pPr>
      <w:r w:rsidRPr="006015D4">
        <w:rPr>
          <w:rFonts w:ascii="David" w:eastAsia="Calibri" w:hAnsi="David" w:hint="cs"/>
          <w:noProof w:val="0"/>
          <w:rtl/>
        </w:rPr>
        <w:t>ב.</w:t>
      </w:r>
      <w:r w:rsidRPr="006015D4">
        <w:rPr>
          <w:rFonts w:ascii="David" w:eastAsia="Calibri" w:hAnsi="David" w:hint="cs"/>
          <w:noProof w:val="0"/>
          <w:rtl/>
        </w:rPr>
        <w:tab/>
        <w:t xml:space="preserve">אסור היה לשמוע בדיון את שתי העו"ס בתיק הנזקקות, שלא נקבע כלל לדיון. בית משפט קמא לא העמיד את הצדדים מראש על כוונתו לקיים דיון בתיק הנזקקות, והעו"ס מעולם לא זומנו כדין לדיון בתיק הנזקקות. </w:t>
      </w:r>
    </w:p>
    <w:p w:rsidR="006015D4" w:rsidRPr="006015D4" w:rsidRDefault="006015D4" w:rsidP="006015D4">
      <w:pPr>
        <w:spacing w:after="120" w:line="360" w:lineRule="auto"/>
        <w:ind w:left="1440" w:hanging="720"/>
        <w:jc w:val="both"/>
        <w:rPr>
          <w:rFonts w:ascii="David" w:eastAsia="Calibri" w:hAnsi="David"/>
          <w:noProof w:val="0"/>
          <w:rtl/>
        </w:rPr>
      </w:pPr>
      <w:r w:rsidRPr="006015D4">
        <w:rPr>
          <w:rFonts w:ascii="David" w:eastAsia="Calibri" w:hAnsi="David" w:hint="cs"/>
          <w:noProof w:val="0"/>
          <w:rtl/>
        </w:rPr>
        <w:t>ג.</w:t>
      </w:r>
      <w:r w:rsidRPr="006015D4">
        <w:rPr>
          <w:rFonts w:ascii="David" w:eastAsia="Calibri" w:hAnsi="David" w:hint="cs"/>
          <w:noProof w:val="0"/>
          <w:rtl/>
        </w:rPr>
        <w:tab/>
        <w:t xml:space="preserve">חובה היה על בית משפט קמא ליידע את העו"ס כי לא זומנו כדין לדיון, וכי לא היו חייבות להגיע לדיון כל עוד טרם זומנו כדין על ידי מזכירות בית המשפט, ומשלא עשה כן </w:t>
      </w:r>
      <w:r w:rsidRPr="006015D4">
        <w:rPr>
          <w:rFonts w:ascii="David" w:eastAsia="Calibri" w:hAnsi="David"/>
          <w:noProof w:val="0"/>
          <w:rtl/>
        </w:rPr>
        <w:t>–</w:t>
      </w:r>
      <w:r w:rsidRPr="006015D4">
        <w:rPr>
          <w:rFonts w:ascii="David" w:eastAsia="Calibri" w:hAnsi="David" w:hint="cs"/>
          <w:noProof w:val="0"/>
          <w:rtl/>
        </w:rPr>
        <w:t xml:space="preserve"> טעות בידו.</w:t>
      </w:r>
    </w:p>
    <w:p w:rsidR="006015D4" w:rsidRPr="006015D4" w:rsidRDefault="006015D4" w:rsidP="006015D4">
      <w:pPr>
        <w:spacing w:after="120" w:line="360" w:lineRule="auto"/>
        <w:ind w:left="1440" w:hanging="720"/>
        <w:jc w:val="both"/>
        <w:rPr>
          <w:rFonts w:ascii="David" w:eastAsia="Calibri" w:hAnsi="David"/>
          <w:noProof w:val="0"/>
          <w:rtl/>
        </w:rPr>
      </w:pPr>
      <w:r w:rsidRPr="006015D4">
        <w:rPr>
          <w:rFonts w:ascii="David" w:eastAsia="Calibri" w:hAnsi="David" w:hint="cs"/>
          <w:noProof w:val="0"/>
          <w:u w:val="single"/>
          <w:rtl/>
        </w:rPr>
        <w:t>בכל הקשור להחלטה קמא מיום 16.4.23</w:t>
      </w:r>
      <w:r w:rsidRPr="006015D4">
        <w:rPr>
          <w:rFonts w:ascii="David" w:eastAsia="Calibri" w:hAnsi="David" w:hint="cs"/>
          <w:noProof w:val="0"/>
          <w:rtl/>
        </w:rPr>
        <w:t>:</w:t>
      </w:r>
    </w:p>
    <w:p w:rsidR="006015D4" w:rsidRPr="006015D4" w:rsidRDefault="006015D4" w:rsidP="006015D4">
      <w:pPr>
        <w:spacing w:after="120" w:line="360" w:lineRule="auto"/>
        <w:ind w:left="1440" w:hanging="720"/>
        <w:jc w:val="both"/>
        <w:rPr>
          <w:rFonts w:ascii="David" w:eastAsia="Calibri" w:hAnsi="David"/>
          <w:noProof w:val="0"/>
          <w:rtl/>
        </w:rPr>
      </w:pPr>
      <w:r w:rsidRPr="006015D4">
        <w:rPr>
          <w:rFonts w:ascii="David" w:eastAsia="Calibri" w:hAnsi="David" w:hint="cs"/>
          <w:noProof w:val="0"/>
          <w:rtl/>
        </w:rPr>
        <w:t>ד.</w:t>
      </w:r>
      <w:r w:rsidRPr="006015D4">
        <w:rPr>
          <w:rFonts w:ascii="David" w:eastAsia="Calibri" w:hAnsi="David" w:hint="cs"/>
          <w:noProof w:val="0"/>
          <w:rtl/>
        </w:rPr>
        <w:tab/>
        <w:t>לא ניתן "לערבב" בין תביעות משמורת ואפוטרופסות, שהם הליכים לפי חוק בית משפט לענייני משפחה, לבין הליך הנזקקות שמתקיים לפי חוק הנוער (טיפול והשגחה). מדובר בהליכים שונים, בסדרי דין שונים, בצדדים שונים וכו', והפנה בעניין לפסק הדין שניתן ב-ענ"א (חי') 55917-10-21.</w:t>
      </w:r>
    </w:p>
    <w:p w:rsidR="006015D4" w:rsidRPr="006015D4" w:rsidRDefault="006015D4" w:rsidP="006015D4">
      <w:pPr>
        <w:spacing w:after="120" w:line="360" w:lineRule="auto"/>
        <w:ind w:left="1440" w:hanging="720"/>
        <w:jc w:val="both"/>
        <w:rPr>
          <w:rFonts w:ascii="David" w:eastAsia="Calibri" w:hAnsi="David"/>
          <w:noProof w:val="0"/>
          <w:rtl/>
        </w:rPr>
      </w:pPr>
      <w:r w:rsidRPr="006015D4">
        <w:rPr>
          <w:rFonts w:ascii="David" w:eastAsia="Calibri" w:hAnsi="David" w:hint="cs"/>
          <w:noProof w:val="0"/>
          <w:rtl/>
        </w:rPr>
        <w:t>ה.</w:t>
      </w:r>
      <w:r w:rsidRPr="006015D4">
        <w:rPr>
          <w:rFonts w:ascii="David" w:eastAsia="Calibri" w:hAnsi="David" w:hint="cs"/>
          <w:noProof w:val="0"/>
          <w:rtl/>
        </w:rPr>
        <w:tab/>
        <w:t xml:space="preserve">למשל, המבקש לא מעוניין כי ב"כ היועמ"ש יהיה חשוף לדברים שנאמרים בתיק הנזקקות או המשמורת. אף קיימים סדרי עדיפויות בבירור התיקים השונים </w:t>
      </w:r>
      <w:r w:rsidRPr="006015D4">
        <w:rPr>
          <w:rFonts w:ascii="David" w:eastAsia="Calibri" w:hAnsi="David"/>
          <w:noProof w:val="0"/>
          <w:rtl/>
        </w:rPr>
        <w:t>–</w:t>
      </w:r>
      <w:r w:rsidRPr="006015D4">
        <w:rPr>
          <w:rFonts w:ascii="David" w:eastAsia="Calibri" w:hAnsi="David" w:hint="cs"/>
          <w:noProof w:val="0"/>
          <w:rtl/>
        </w:rPr>
        <w:t xml:space="preserve"> ברמ"ש 51998-01-23 נקבע כי יש לקבוע את תיק האפוטרופסות לשמיעת ראיות בהקדם האפשרי. תיק האפוט' מהווה עבור המבקש פגיעה ניכרת ומהותית בו. בעדיפות שנייה יש לשמוע את תיק המשמורת היות שההחלטות הזמניות בו גורמות לפגיעה במבקש. את תיק הנזקקות יש לשמוע אחרון אם וכאשר תוגש בו בקשה לקביעת דיון. </w:t>
      </w:r>
    </w:p>
    <w:p w:rsidR="006015D4" w:rsidRPr="006015D4" w:rsidRDefault="006015D4" w:rsidP="006015D4">
      <w:pPr>
        <w:spacing w:after="120" w:line="360" w:lineRule="auto"/>
        <w:ind w:left="1440" w:hanging="720"/>
        <w:jc w:val="both"/>
        <w:rPr>
          <w:rFonts w:ascii="David" w:eastAsia="Calibri" w:hAnsi="David"/>
          <w:noProof w:val="0"/>
          <w:rtl/>
        </w:rPr>
      </w:pPr>
      <w:r w:rsidRPr="006015D4">
        <w:rPr>
          <w:rFonts w:ascii="David" w:eastAsia="Calibri" w:hAnsi="David" w:hint="cs"/>
          <w:noProof w:val="0"/>
          <w:rtl/>
        </w:rPr>
        <w:t>ו.</w:t>
      </w:r>
      <w:r w:rsidRPr="006015D4">
        <w:rPr>
          <w:rFonts w:ascii="David" w:eastAsia="Calibri" w:hAnsi="David" w:hint="cs"/>
          <w:noProof w:val="0"/>
          <w:rtl/>
        </w:rPr>
        <w:tab/>
        <w:t>בית המשפט לא יכול כעקרון ליזום הליכים מיוזמתו, כפי שפעל בתיק הנזקקות. החלטת בית המשפט קמא מיום 13.4.23, לפיה הדיון קבוע גם בתיק הנזקקות, מוקשית נוכח העובדה כי עד אותו יום, 13.4.23 כלל לא היה קבוע דיון בתיק הנזקקות.</w:t>
      </w:r>
    </w:p>
    <w:p w:rsidR="006015D4" w:rsidRPr="006015D4" w:rsidRDefault="006015D4" w:rsidP="006015D4">
      <w:pPr>
        <w:spacing w:after="120" w:line="360" w:lineRule="auto"/>
        <w:jc w:val="both"/>
        <w:rPr>
          <w:rFonts w:ascii="David" w:eastAsia="Calibri" w:hAnsi="David"/>
          <w:noProof w:val="0"/>
          <w:rtl/>
        </w:rPr>
      </w:pPr>
      <w:r w:rsidRPr="006015D4">
        <w:rPr>
          <w:rFonts w:ascii="David" w:eastAsia="Calibri" w:hAnsi="David" w:hint="cs"/>
          <w:noProof w:val="0"/>
          <w:rtl/>
        </w:rPr>
        <w:t>16.</w:t>
      </w:r>
      <w:r w:rsidRPr="006015D4">
        <w:rPr>
          <w:rFonts w:ascii="David" w:eastAsia="Calibri" w:hAnsi="David" w:hint="cs"/>
          <w:noProof w:val="0"/>
          <w:rtl/>
        </w:rPr>
        <w:tab/>
      </w:r>
      <w:r w:rsidRPr="006015D4">
        <w:rPr>
          <w:rFonts w:ascii="David" w:eastAsia="Calibri" w:hAnsi="David" w:hint="cs"/>
          <w:noProof w:val="0"/>
          <w:u w:val="single"/>
          <w:rtl/>
        </w:rPr>
        <w:t>בסוף בקשת רשות הערעור, מבקש המבקש ליתן ל</w:t>
      </w:r>
      <w:r>
        <w:rPr>
          <w:rFonts w:ascii="David" w:eastAsia="Calibri" w:hAnsi="David" w:hint="cs"/>
          <w:noProof w:val="0"/>
          <w:u w:val="single"/>
          <w:rtl/>
        </w:rPr>
        <w:t>ו בקשת רשות ערעור, לקבל הערעור,</w:t>
      </w:r>
      <w:r w:rsidR="005F061D">
        <w:rPr>
          <w:rFonts w:ascii="David" w:eastAsia="Calibri" w:hAnsi="David" w:hint="cs"/>
          <w:noProof w:val="0"/>
          <w:u w:val="single"/>
          <w:rtl/>
        </w:rPr>
        <w:t xml:space="preserve"> </w:t>
      </w:r>
      <w:r w:rsidRPr="006015D4">
        <w:rPr>
          <w:rFonts w:ascii="David" w:eastAsia="Calibri" w:hAnsi="David" w:hint="cs"/>
          <w:noProof w:val="0"/>
          <w:u w:val="single"/>
          <w:rtl/>
        </w:rPr>
        <w:t xml:space="preserve">ולהורות </w:t>
      </w:r>
      <w:r w:rsidR="005F061D">
        <w:rPr>
          <w:rFonts w:ascii="David" w:eastAsia="Calibri" w:hAnsi="David"/>
          <w:noProof w:val="0"/>
          <w:rtl/>
        </w:rPr>
        <w:tab/>
      </w:r>
      <w:r w:rsidRPr="006015D4">
        <w:rPr>
          <w:rFonts w:ascii="David" w:eastAsia="Calibri" w:hAnsi="David" w:hint="cs"/>
          <w:noProof w:val="0"/>
          <w:u w:val="single"/>
          <w:rtl/>
        </w:rPr>
        <w:t>כדלקמן</w:t>
      </w:r>
      <w:r w:rsidRPr="006015D4">
        <w:rPr>
          <w:rFonts w:ascii="David" w:eastAsia="Calibri" w:hAnsi="David" w:hint="cs"/>
          <w:noProof w:val="0"/>
          <w:rtl/>
        </w:rPr>
        <w:t>:</w:t>
      </w:r>
    </w:p>
    <w:p w:rsidR="006015D4" w:rsidRPr="006015D4" w:rsidRDefault="006015D4" w:rsidP="006015D4">
      <w:pPr>
        <w:spacing w:after="120" w:line="360" w:lineRule="auto"/>
        <w:jc w:val="both"/>
        <w:rPr>
          <w:rFonts w:ascii="David" w:eastAsia="Calibri" w:hAnsi="David"/>
          <w:noProof w:val="0"/>
          <w:rtl/>
        </w:rPr>
      </w:pPr>
      <w:r w:rsidRPr="006015D4">
        <w:rPr>
          <w:rFonts w:ascii="David" w:eastAsia="Calibri" w:hAnsi="David"/>
          <w:noProof w:val="0"/>
          <w:rtl/>
        </w:rPr>
        <w:tab/>
      </w:r>
      <w:r w:rsidRPr="006015D4">
        <w:rPr>
          <w:rFonts w:ascii="David" w:eastAsia="Calibri" w:hAnsi="David" w:hint="cs"/>
          <w:noProof w:val="0"/>
          <w:rtl/>
        </w:rPr>
        <w:t>א.</w:t>
      </w:r>
      <w:r w:rsidRPr="006015D4">
        <w:rPr>
          <w:rFonts w:ascii="David" w:eastAsia="Calibri" w:hAnsi="David" w:hint="cs"/>
          <w:noProof w:val="0"/>
          <w:rtl/>
        </w:rPr>
        <w:tab/>
        <w:t>יבוטלו שתי ההחלטות קמא, מימים 13.4.23 ו- 16.4.23;</w:t>
      </w:r>
    </w:p>
    <w:p w:rsidR="006015D4" w:rsidRPr="006015D4" w:rsidRDefault="006015D4" w:rsidP="006015D4">
      <w:pPr>
        <w:spacing w:after="120" w:line="360" w:lineRule="auto"/>
        <w:jc w:val="both"/>
        <w:rPr>
          <w:rFonts w:ascii="David" w:eastAsia="Calibri" w:hAnsi="David"/>
          <w:noProof w:val="0"/>
          <w:rtl/>
        </w:rPr>
      </w:pPr>
      <w:r w:rsidRPr="006015D4">
        <w:rPr>
          <w:rFonts w:ascii="David" w:eastAsia="Calibri" w:hAnsi="David"/>
          <w:noProof w:val="0"/>
          <w:rtl/>
        </w:rPr>
        <w:tab/>
      </w:r>
      <w:r w:rsidRPr="006015D4">
        <w:rPr>
          <w:rFonts w:ascii="David" w:eastAsia="Calibri" w:hAnsi="David" w:hint="cs"/>
          <w:noProof w:val="0"/>
          <w:rtl/>
        </w:rPr>
        <w:t>ב.</w:t>
      </w:r>
      <w:r w:rsidRPr="006015D4">
        <w:rPr>
          <w:rFonts w:ascii="David" w:eastAsia="Calibri" w:hAnsi="David" w:hint="cs"/>
          <w:noProof w:val="0"/>
          <w:rtl/>
        </w:rPr>
        <w:tab/>
        <w:t xml:space="preserve">הראיות בתיקי הצדדים תישמענה בנפרד </w:t>
      </w:r>
      <w:r w:rsidRPr="006015D4">
        <w:rPr>
          <w:rFonts w:ascii="David" w:eastAsia="Calibri" w:hAnsi="David"/>
          <w:noProof w:val="0"/>
          <w:rtl/>
        </w:rPr>
        <w:t>–</w:t>
      </w:r>
      <w:r w:rsidRPr="006015D4">
        <w:rPr>
          <w:rFonts w:ascii="David" w:eastAsia="Calibri" w:hAnsi="David" w:hint="cs"/>
          <w:noProof w:val="0"/>
          <w:rtl/>
        </w:rPr>
        <w:t xml:space="preserve"> בד</w:t>
      </w:r>
      <w:r>
        <w:rPr>
          <w:rFonts w:ascii="David" w:eastAsia="Calibri" w:hAnsi="David" w:hint="cs"/>
          <w:noProof w:val="0"/>
          <w:rtl/>
        </w:rPr>
        <w:t xml:space="preserve">יון הקרוב תישמענה אך ורק הראיות </w:t>
      </w:r>
      <w:r w:rsidRPr="006015D4">
        <w:rPr>
          <w:rFonts w:ascii="David" w:eastAsia="Calibri" w:hAnsi="David" w:hint="cs"/>
          <w:noProof w:val="0"/>
          <w:rtl/>
        </w:rPr>
        <w:t xml:space="preserve">בתיק </w:t>
      </w:r>
      <w:r w:rsidR="005F061D">
        <w:rPr>
          <w:rFonts w:ascii="David" w:eastAsia="Calibri" w:hAnsi="David"/>
          <w:noProof w:val="0"/>
          <w:rtl/>
        </w:rPr>
        <w:tab/>
      </w:r>
      <w:r w:rsidR="005F061D">
        <w:rPr>
          <w:rFonts w:ascii="David" w:eastAsia="Calibri" w:hAnsi="David"/>
          <w:noProof w:val="0"/>
          <w:rtl/>
        </w:rPr>
        <w:tab/>
      </w:r>
      <w:r w:rsidR="005F061D">
        <w:rPr>
          <w:rFonts w:ascii="David" w:eastAsia="Calibri" w:hAnsi="David"/>
          <w:noProof w:val="0"/>
          <w:rtl/>
        </w:rPr>
        <w:tab/>
      </w:r>
      <w:r w:rsidRPr="006015D4">
        <w:rPr>
          <w:rFonts w:ascii="David" w:eastAsia="Calibri" w:hAnsi="David" w:hint="cs"/>
          <w:noProof w:val="0"/>
          <w:rtl/>
        </w:rPr>
        <w:t xml:space="preserve">האפוטרופסות, ובמועד לאחר מכן תישמענה הראיות בתיק המשמורת. </w:t>
      </w:r>
    </w:p>
    <w:p w:rsidR="006015D4" w:rsidRPr="006015D4" w:rsidRDefault="005F061D" w:rsidP="006015D4">
      <w:pPr>
        <w:spacing w:after="120" w:line="360" w:lineRule="auto"/>
        <w:jc w:val="both"/>
        <w:rPr>
          <w:rFonts w:ascii="David" w:eastAsia="Calibri" w:hAnsi="David"/>
          <w:noProof w:val="0"/>
          <w:rtl/>
        </w:rPr>
      </w:pPr>
      <w:r>
        <w:rPr>
          <w:rFonts w:ascii="David" w:eastAsia="Calibri" w:hAnsi="David"/>
          <w:noProof w:val="0"/>
          <w:rtl/>
        </w:rPr>
        <w:lastRenderedPageBreak/>
        <w:tab/>
      </w:r>
      <w:r>
        <w:rPr>
          <w:rFonts w:ascii="David" w:eastAsia="Calibri" w:hAnsi="David"/>
          <w:noProof w:val="0"/>
          <w:rtl/>
        </w:rPr>
        <w:tab/>
      </w:r>
      <w:r w:rsidR="006015D4" w:rsidRPr="006015D4">
        <w:rPr>
          <w:rFonts w:ascii="David" w:eastAsia="Calibri" w:hAnsi="David" w:hint="cs"/>
          <w:noProof w:val="0"/>
          <w:rtl/>
        </w:rPr>
        <w:t>ראיות בתיק הנזקקות לא תישמענה כלל, היות שלגי</w:t>
      </w:r>
      <w:r w:rsidR="006015D4">
        <w:rPr>
          <w:rFonts w:ascii="David" w:eastAsia="Calibri" w:hAnsi="David" w:hint="cs"/>
          <w:noProof w:val="0"/>
          <w:rtl/>
        </w:rPr>
        <w:t>שת המבקש, טרם הוגשה</w:t>
      </w:r>
      <w:r>
        <w:rPr>
          <w:rFonts w:ascii="David" w:eastAsia="Calibri" w:hAnsi="David" w:hint="cs"/>
          <w:noProof w:val="0"/>
          <w:rtl/>
        </w:rPr>
        <w:t xml:space="preserve"> </w:t>
      </w:r>
      <w:r w:rsidR="006015D4" w:rsidRPr="006015D4">
        <w:rPr>
          <w:rFonts w:ascii="David" w:eastAsia="Calibri" w:hAnsi="David" w:hint="cs"/>
          <w:noProof w:val="0"/>
          <w:rtl/>
        </w:rPr>
        <w:t xml:space="preserve">בקשה בכתב </w:t>
      </w:r>
      <w:r>
        <w:rPr>
          <w:rFonts w:ascii="David" w:eastAsia="Calibri" w:hAnsi="David"/>
          <w:noProof w:val="0"/>
          <w:rtl/>
        </w:rPr>
        <w:tab/>
      </w:r>
      <w:r>
        <w:rPr>
          <w:rFonts w:ascii="David" w:eastAsia="Calibri" w:hAnsi="David"/>
          <w:noProof w:val="0"/>
          <w:rtl/>
        </w:rPr>
        <w:tab/>
      </w:r>
      <w:r>
        <w:rPr>
          <w:rFonts w:ascii="David" w:eastAsia="Calibri" w:hAnsi="David"/>
          <w:noProof w:val="0"/>
          <w:rtl/>
        </w:rPr>
        <w:tab/>
      </w:r>
      <w:r w:rsidR="006015D4" w:rsidRPr="006015D4">
        <w:rPr>
          <w:rFonts w:ascii="David" w:eastAsia="Calibri" w:hAnsi="David" w:hint="cs"/>
          <w:noProof w:val="0"/>
          <w:rtl/>
        </w:rPr>
        <w:t>לקבוע דיון בתיק הנזקקות;</w:t>
      </w:r>
    </w:p>
    <w:p w:rsidR="006015D4" w:rsidRPr="006015D4" w:rsidRDefault="006015D4" w:rsidP="006015D4">
      <w:pPr>
        <w:spacing w:after="120" w:line="360" w:lineRule="auto"/>
        <w:jc w:val="both"/>
        <w:rPr>
          <w:rFonts w:ascii="David" w:eastAsia="Calibri" w:hAnsi="David"/>
          <w:noProof w:val="0"/>
          <w:rtl/>
        </w:rPr>
      </w:pPr>
      <w:r w:rsidRPr="006015D4">
        <w:rPr>
          <w:rFonts w:ascii="David" w:eastAsia="Calibri" w:hAnsi="David"/>
          <w:noProof w:val="0"/>
          <w:rtl/>
        </w:rPr>
        <w:tab/>
      </w:r>
      <w:r w:rsidRPr="006015D4">
        <w:rPr>
          <w:rFonts w:ascii="David" w:eastAsia="Calibri" w:hAnsi="David" w:hint="cs"/>
          <w:noProof w:val="0"/>
          <w:rtl/>
        </w:rPr>
        <w:t>ג.</w:t>
      </w:r>
      <w:r w:rsidRPr="006015D4">
        <w:rPr>
          <w:rFonts w:ascii="David" w:eastAsia="Calibri" w:hAnsi="David" w:hint="cs"/>
          <w:noProof w:val="0"/>
          <w:rtl/>
        </w:rPr>
        <w:tab/>
        <w:t>ההליך בבית משפט קמא יתקיים בפני מותב אחר, החל מאותו שלב.</w:t>
      </w:r>
    </w:p>
    <w:p w:rsidR="006015D4" w:rsidRPr="006015D4" w:rsidRDefault="006015D4" w:rsidP="006015D4">
      <w:pPr>
        <w:spacing w:after="120" w:line="360" w:lineRule="auto"/>
        <w:jc w:val="both"/>
        <w:rPr>
          <w:rFonts w:ascii="David" w:eastAsia="Calibri" w:hAnsi="David"/>
          <w:noProof w:val="0"/>
          <w:rtl/>
        </w:rPr>
      </w:pPr>
    </w:p>
    <w:p w:rsidR="006015D4" w:rsidRPr="006015D4" w:rsidRDefault="006015D4" w:rsidP="006015D4">
      <w:pPr>
        <w:spacing w:after="120" w:line="360" w:lineRule="auto"/>
        <w:jc w:val="both"/>
        <w:rPr>
          <w:rFonts w:ascii="David" w:eastAsia="Calibri" w:hAnsi="David"/>
          <w:b/>
          <w:bCs/>
          <w:noProof w:val="0"/>
          <w:u w:val="single"/>
        </w:rPr>
      </w:pPr>
      <w:r w:rsidRPr="006015D4">
        <w:rPr>
          <w:rFonts w:ascii="David" w:eastAsia="Calibri" w:hAnsi="David"/>
          <w:b/>
          <w:bCs/>
          <w:noProof w:val="0"/>
          <w:u w:val="single"/>
          <w:rtl/>
        </w:rPr>
        <w:t>דיון והכרעה</w:t>
      </w:r>
    </w:p>
    <w:p w:rsidR="006015D4" w:rsidRPr="006015D4" w:rsidRDefault="006015D4" w:rsidP="006015D4">
      <w:pPr>
        <w:spacing w:after="120" w:line="360" w:lineRule="auto"/>
        <w:ind w:left="720" w:hanging="720"/>
        <w:jc w:val="both"/>
        <w:rPr>
          <w:rFonts w:ascii="David" w:eastAsia="Calibri" w:hAnsi="David"/>
          <w:b/>
          <w:bCs/>
          <w:noProof w:val="0"/>
          <w:rtl/>
        </w:rPr>
      </w:pPr>
      <w:r w:rsidRPr="006015D4">
        <w:rPr>
          <w:rFonts w:ascii="David" w:eastAsia="Calibri" w:hAnsi="David" w:hint="cs"/>
          <w:noProof w:val="0"/>
          <w:rtl/>
        </w:rPr>
        <w:t>17</w:t>
      </w:r>
      <w:r w:rsidRPr="006015D4">
        <w:rPr>
          <w:rFonts w:ascii="David" w:eastAsia="Calibri" w:hAnsi="David"/>
          <w:noProof w:val="0"/>
          <w:rtl/>
        </w:rPr>
        <w:t>.</w:t>
      </w:r>
      <w:r w:rsidRPr="006015D4">
        <w:rPr>
          <w:rFonts w:ascii="David" w:eastAsia="Calibri" w:hAnsi="David"/>
          <w:noProof w:val="0"/>
          <w:rtl/>
        </w:rPr>
        <w:tab/>
      </w:r>
      <w:r w:rsidRPr="006015D4">
        <w:rPr>
          <w:rFonts w:ascii="David" w:eastAsia="Calibri" w:hAnsi="David"/>
          <w:b/>
          <w:bCs/>
          <w:noProof w:val="0"/>
          <w:rtl/>
        </w:rPr>
        <w:t>לאחר עיון בבקשת רשות הערעור על נספחיה</w:t>
      </w:r>
      <w:r w:rsidRPr="006015D4">
        <w:rPr>
          <w:rFonts w:ascii="David" w:eastAsia="Calibri" w:hAnsi="David" w:hint="cs"/>
          <w:b/>
          <w:bCs/>
          <w:noProof w:val="0"/>
          <w:rtl/>
        </w:rPr>
        <w:t xml:space="preserve"> </w:t>
      </w:r>
      <w:r w:rsidRPr="006015D4">
        <w:rPr>
          <w:rFonts w:ascii="David" w:eastAsia="Calibri" w:hAnsi="David"/>
          <w:b/>
          <w:bCs/>
          <w:noProof w:val="0"/>
          <w:rtl/>
        </w:rPr>
        <w:t xml:space="preserve">ובתיק קמא שוכנעתי </w:t>
      </w:r>
      <w:r w:rsidRPr="006015D4">
        <w:rPr>
          <w:rFonts w:ascii="David" w:eastAsia="Calibri" w:hAnsi="David" w:hint="cs"/>
          <w:b/>
          <w:bCs/>
          <w:noProof w:val="0"/>
          <w:rtl/>
        </w:rPr>
        <w:t>לדחות את בקשת רשות הערעור על שתי ההחלטות קמא אף ללא צורך בתשובה</w:t>
      </w:r>
      <w:r w:rsidRPr="006015D4">
        <w:rPr>
          <w:rFonts w:ascii="David" w:eastAsia="Calibri" w:hAnsi="David"/>
          <w:b/>
          <w:bCs/>
          <w:noProof w:val="0"/>
          <w:rtl/>
        </w:rPr>
        <w:t>, מכח סמכותי על פי תקנות 138(א)(2) + (5) לתקנות סדר הדין האזרחי, תשע"ט-2018.</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b/>
          <w:bCs/>
          <w:noProof w:val="0"/>
          <w:rtl/>
        </w:rPr>
        <w:tab/>
      </w:r>
      <w:r w:rsidRPr="006015D4">
        <w:rPr>
          <w:rFonts w:ascii="David" w:eastAsia="Calibri" w:hAnsi="David"/>
          <w:noProof w:val="0"/>
          <w:rtl/>
        </w:rPr>
        <w:t>להלן אנמק החלטתי.</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t>18.</w:t>
      </w:r>
      <w:r w:rsidRPr="006015D4">
        <w:rPr>
          <w:rFonts w:ascii="David" w:eastAsia="Calibri" w:hAnsi="David" w:hint="cs"/>
          <w:noProof w:val="0"/>
          <w:rtl/>
        </w:rPr>
        <w:tab/>
        <w:t xml:space="preserve">בכל הקשור להחלטה מיום 13.4.23, </w:t>
      </w:r>
      <w:r w:rsidRPr="006015D4">
        <w:rPr>
          <w:rFonts w:ascii="David" w:hAnsi="David" w:hint="cs"/>
          <w:noProof w:val="0"/>
          <w:rtl/>
        </w:rPr>
        <w:t>הרי ש</w:t>
      </w:r>
      <w:r w:rsidRPr="006015D4">
        <w:rPr>
          <w:rFonts w:ascii="David" w:hAnsi="David" w:hint="cs"/>
          <w:b/>
          <w:bCs/>
          <w:noProof w:val="0"/>
          <w:rtl/>
        </w:rPr>
        <w:t>מדובר בהחלטה דיונית של בית משפט קמא</w:t>
      </w:r>
      <w:r w:rsidRPr="006015D4">
        <w:rPr>
          <w:rFonts w:ascii="David" w:hAnsi="David"/>
          <w:b/>
          <w:bCs/>
          <w:noProof w:val="0"/>
          <w:rtl/>
        </w:rPr>
        <w:t xml:space="preserve">, בה ממעטת ערכאת הערעור להתערב. </w:t>
      </w:r>
    </w:p>
    <w:p w:rsidR="006015D4" w:rsidRPr="006015D4" w:rsidRDefault="006015D4" w:rsidP="006015D4">
      <w:pPr>
        <w:spacing w:after="120" w:line="360" w:lineRule="auto"/>
        <w:ind w:left="720"/>
        <w:jc w:val="both"/>
        <w:rPr>
          <w:rFonts w:ascii="David" w:hAnsi="David"/>
          <w:rtl/>
        </w:rPr>
      </w:pPr>
      <w:r w:rsidRPr="006015D4">
        <w:rPr>
          <w:rFonts w:ascii="David" w:hAnsi="David"/>
          <w:rtl/>
        </w:rPr>
        <w:t>נאמר לא אחת בפסיקה, כי בהחלטות דיוניות כאמור, לערכאה המבררת נתון שיקול דעת רחב, וכאמור ערכאת הערעור ממעטת להתערב; התערבות בהחלטות מעין אלו שמורה למקרים חריגים בלבד</w:t>
      </w:r>
      <w:r w:rsidRPr="006015D4">
        <w:rPr>
          <w:rFonts w:ascii="David" w:hAnsi="David" w:hint="cs"/>
          <w:rtl/>
        </w:rPr>
        <w:t>, והמקרה דנן אינו כזה.</w:t>
      </w:r>
    </w:p>
    <w:p w:rsidR="006015D4" w:rsidRPr="006015D4" w:rsidRDefault="006015D4" w:rsidP="006015D4">
      <w:pPr>
        <w:spacing w:after="120" w:line="360" w:lineRule="auto"/>
        <w:ind w:left="720" w:hanging="720"/>
        <w:jc w:val="both"/>
        <w:rPr>
          <w:rFonts w:ascii="David" w:hAnsi="David"/>
          <w:rtl/>
        </w:rPr>
      </w:pPr>
      <w:r w:rsidRPr="006015D4">
        <w:rPr>
          <w:rFonts w:ascii="David" w:hAnsi="David"/>
          <w:rtl/>
        </w:rPr>
        <w:tab/>
      </w:r>
      <w:r w:rsidRPr="006015D4">
        <w:rPr>
          <w:rFonts w:ascii="David" w:hAnsi="David"/>
          <w:u w:val="single"/>
          <w:rtl/>
        </w:rPr>
        <w:t>ראו לענין זה</w:t>
      </w:r>
      <w:r w:rsidRPr="006015D4">
        <w:rPr>
          <w:rFonts w:ascii="David" w:hAnsi="David"/>
          <w:rtl/>
        </w:rPr>
        <w:t>:</w:t>
      </w:r>
    </w:p>
    <w:p w:rsidR="006015D4" w:rsidRPr="006015D4" w:rsidRDefault="006015D4" w:rsidP="006015D4">
      <w:pPr>
        <w:spacing w:after="120" w:line="360" w:lineRule="auto"/>
        <w:ind w:left="720" w:hanging="720"/>
        <w:jc w:val="both"/>
        <w:rPr>
          <w:rFonts w:ascii="David" w:hAnsi="David"/>
          <w:rtl/>
        </w:rPr>
      </w:pPr>
      <w:r w:rsidRPr="006015D4">
        <w:rPr>
          <w:rFonts w:ascii="David" w:hAnsi="David"/>
          <w:rtl/>
        </w:rPr>
        <w:tab/>
      </w:r>
      <w:r w:rsidRPr="006015D4">
        <w:rPr>
          <w:rFonts w:ascii="David" w:eastAsia="Calibri" w:hAnsi="David" w:hint="cs"/>
          <w:noProof w:val="0"/>
          <w:rtl/>
        </w:rPr>
        <w:t xml:space="preserve">רע"א 2732/23 </w:t>
      </w:r>
      <w:r w:rsidRPr="006015D4">
        <w:rPr>
          <w:rFonts w:ascii="David" w:eastAsia="Calibri" w:hAnsi="David" w:hint="cs"/>
          <w:b/>
          <w:bCs/>
          <w:noProof w:val="0"/>
          <w:rtl/>
        </w:rPr>
        <w:t>מזל כהן נ' שירותי בריאות כללית</w:t>
      </w:r>
      <w:r w:rsidRPr="006015D4">
        <w:rPr>
          <w:rFonts w:ascii="David" w:eastAsia="Calibri" w:hAnsi="David" w:hint="cs"/>
          <w:noProof w:val="0"/>
          <w:rtl/>
        </w:rPr>
        <w:t>, פסקה 5 (19.4.2023);</w:t>
      </w:r>
    </w:p>
    <w:p w:rsidR="006015D4" w:rsidRPr="006015D4" w:rsidRDefault="006015D4" w:rsidP="006015D4">
      <w:pPr>
        <w:spacing w:after="120" w:line="360" w:lineRule="auto"/>
        <w:ind w:left="720"/>
        <w:jc w:val="both"/>
        <w:rPr>
          <w:rFonts w:ascii="David" w:hAnsi="David"/>
          <w:rtl/>
        </w:rPr>
      </w:pPr>
      <w:r w:rsidRPr="006015D4">
        <w:rPr>
          <w:rFonts w:ascii="David" w:hAnsi="David"/>
          <w:rtl/>
        </w:rPr>
        <w:t xml:space="preserve">רע"א 1377/21 </w:t>
      </w:r>
      <w:r w:rsidRPr="006015D4">
        <w:rPr>
          <w:rFonts w:ascii="David" w:hAnsi="David"/>
          <w:b/>
          <w:bCs/>
          <w:rtl/>
        </w:rPr>
        <w:t>‏סיאט כרמל סחר יבוא ויצוא בע"מ נ' אורית פלד</w:t>
      </w:r>
      <w:r w:rsidRPr="006015D4">
        <w:rPr>
          <w:rFonts w:ascii="David" w:hAnsi="David"/>
          <w:rtl/>
        </w:rPr>
        <w:t xml:space="preserve"> (10.6.21);</w:t>
      </w:r>
    </w:p>
    <w:p w:rsidR="006015D4" w:rsidRPr="006015D4" w:rsidRDefault="006015D4" w:rsidP="006015D4">
      <w:pPr>
        <w:spacing w:after="120" w:line="360" w:lineRule="auto"/>
        <w:ind w:left="720"/>
        <w:jc w:val="both"/>
        <w:rPr>
          <w:rFonts w:ascii="David" w:hAnsi="David"/>
          <w:rtl/>
        </w:rPr>
      </w:pPr>
      <w:r w:rsidRPr="006015D4">
        <w:rPr>
          <w:rFonts w:ascii="David" w:hAnsi="David"/>
          <w:rtl/>
        </w:rPr>
        <w:t xml:space="preserve">רע"א 1396/18 </w:t>
      </w:r>
      <w:r w:rsidRPr="006015D4">
        <w:rPr>
          <w:rFonts w:ascii="David" w:hAnsi="David"/>
          <w:b/>
          <w:bCs/>
          <w:rtl/>
        </w:rPr>
        <w:t>פלוני נ' בנק דיסקונט להשקעות</w:t>
      </w:r>
      <w:r w:rsidRPr="006015D4">
        <w:rPr>
          <w:rFonts w:ascii="David" w:hAnsi="David"/>
          <w:rtl/>
        </w:rPr>
        <w:t xml:space="preserve"> (13.3.18);</w:t>
      </w:r>
    </w:p>
    <w:p w:rsidR="006015D4" w:rsidRPr="006015D4" w:rsidRDefault="006015D4" w:rsidP="006015D4">
      <w:pPr>
        <w:spacing w:after="120" w:line="360" w:lineRule="auto"/>
        <w:ind w:left="720"/>
        <w:jc w:val="both"/>
        <w:rPr>
          <w:rFonts w:ascii="David" w:hAnsi="David"/>
          <w:rtl/>
        </w:rPr>
      </w:pPr>
      <w:r w:rsidRPr="006015D4">
        <w:rPr>
          <w:rFonts w:ascii="David" w:hAnsi="David"/>
          <w:rtl/>
        </w:rPr>
        <w:t xml:space="preserve">בע"מ 7275/18 </w:t>
      </w:r>
      <w:r w:rsidRPr="006015D4">
        <w:rPr>
          <w:rFonts w:ascii="David" w:hAnsi="David"/>
          <w:b/>
          <w:bCs/>
          <w:rtl/>
        </w:rPr>
        <w:t>פלוני נ' פלונית</w:t>
      </w:r>
      <w:r w:rsidRPr="006015D4">
        <w:rPr>
          <w:rFonts w:ascii="David" w:hAnsi="David"/>
          <w:rtl/>
        </w:rPr>
        <w:t xml:space="preserve"> (26.11.2018).</w:t>
      </w:r>
    </w:p>
    <w:p w:rsidR="006015D4" w:rsidRPr="006015D4" w:rsidRDefault="006015D4" w:rsidP="006015D4">
      <w:pPr>
        <w:spacing w:after="120" w:line="360" w:lineRule="auto"/>
        <w:ind w:left="720" w:hanging="720"/>
        <w:jc w:val="both"/>
        <w:rPr>
          <w:rFonts w:ascii="David" w:hAnsi="David"/>
          <w:rtl/>
        </w:rPr>
      </w:pPr>
      <w:r w:rsidRPr="006015D4">
        <w:rPr>
          <w:rFonts w:ascii="David" w:hAnsi="David"/>
          <w:rtl/>
        </w:rPr>
        <w:tab/>
      </w:r>
      <w:r w:rsidRPr="006015D4">
        <w:rPr>
          <w:rFonts w:ascii="David" w:hAnsi="David" w:hint="cs"/>
          <w:b/>
          <w:bCs/>
          <w:rtl/>
        </w:rPr>
        <w:t>כאמור,</w:t>
      </w:r>
      <w:r w:rsidRPr="006015D4">
        <w:rPr>
          <w:rFonts w:ascii="David" w:hAnsi="David" w:hint="cs"/>
          <w:rtl/>
        </w:rPr>
        <w:t xml:space="preserve"> </w:t>
      </w:r>
      <w:r w:rsidRPr="006015D4">
        <w:rPr>
          <w:rFonts w:ascii="David" w:hAnsi="David"/>
          <w:b/>
          <w:bCs/>
          <w:rtl/>
        </w:rPr>
        <w:t>לא מצאתי כי נפלה בהחלטה קמא, שהיא במהותה דיונית, טעות שתצדיק, באופן חריג, את התערבות ערכאת הערעור</w:t>
      </w:r>
      <w:r w:rsidRPr="006015D4">
        <w:rPr>
          <w:rFonts w:ascii="David" w:hAnsi="David"/>
          <w:rtl/>
        </w:rPr>
        <w:t>.</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t xml:space="preserve"> 19.</w:t>
      </w:r>
      <w:r w:rsidRPr="006015D4">
        <w:rPr>
          <w:rFonts w:ascii="David" w:eastAsia="Calibri" w:hAnsi="David" w:hint="cs"/>
          <w:noProof w:val="0"/>
          <w:rtl/>
        </w:rPr>
        <w:tab/>
        <w:t>כמו כן ולגופם של דברים, לא ברורה לי עד תום, מהות הפגיעה או הנזק שנגרמו למבקש ממתן ההחלטה הנ"ל. יוזכר כי הבקשה המדוברת, על גביה ניתנה ההחלטה הנ"ל, הוגשה על ידי העובדות הסוציאליות שהודיעו כי לא תספקנה להתכונן כראוי למתן עדותן. הא ותו לא. לא ירדתי לסוף דעתו של המבקש בנקודה זו, ולא ברורה התועלת שתצמח למבקש מביטול ההחלטה הנ"ל, כדרישתו.</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t>20.</w:t>
      </w:r>
      <w:r w:rsidRPr="006015D4">
        <w:rPr>
          <w:rFonts w:ascii="David" w:eastAsia="Calibri" w:hAnsi="David" w:hint="cs"/>
          <w:noProof w:val="0"/>
          <w:rtl/>
        </w:rPr>
        <w:tab/>
        <w:t>בכל הקשור להחלטה מיום 16.4.23, אשר ניתנה במסגרת הדיון שתועד בהקלטה. אני ער לדברי חברי, כב' השופט סארי ג'יוסי, בפסק דינו בתיק ענ"א (חי') 55917-10-21 (להלן: "</w:t>
      </w:r>
      <w:r w:rsidRPr="006015D4">
        <w:rPr>
          <w:rFonts w:ascii="David" w:eastAsia="Calibri" w:hAnsi="David" w:hint="cs"/>
          <w:b/>
          <w:bCs/>
          <w:noProof w:val="0"/>
          <w:rtl/>
        </w:rPr>
        <w:t>תיק הענ"א</w:t>
      </w:r>
      <w:r w:rsidRPr="006015D4">
        <w:rPr>
          <w:rFonts w:ascii="David" w:eastAsia="Calibri" w:hAnsi="David" w:hint="cs"/>
          <w:noProof w:val="0"/>
          <w:rtl/>
        </w:rPr>
        <w:t xml:space="preserve">"), אשר הוזכר בטענות המבקש בבקשתו כאן, לפיהם אין "לערבב" בין תביעות משמורת ואפוטרופסות, שהם הליכים </w:t>
      </w:r>
      <w:r w:rsidRPr="006015D4">
        <w:rPr>
          <w:rFonts w:ascii="David" w:eastAsia="Calibri" w:hAnsi="David" w:hint="cs"/>
          <w:noProof w:val="0"/>
          <w:rtl/>
        </w:rPr>
        <w:lastRenderedPageBreak/>
        <w:t>לפי חוק בית משפט לענייני משפחה, לבין הליך הנזקקות שמתקיים לפי חוק הנוער (טיפול והשגחה). אולם קיים לדעתי שוני בין שני המקרים, ואעמוד עליו כדלקמן.</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t>21.</w:t>
      </w:r>
      <w:r w:rsidRPr="006015D4">
        <w:rPr>
          <w:rFonts w:ascii="David" w:eastAsia="Calibri" w:hAnsi="David"/>
          <w:noProof w:val="0"/>
          <w:rtl/>
        </w:rPr>
        <w:tab/>
      </w:r>
      <w:r w:rsidRPr="006015D4">
        <w:rPr>
          <w:rFonts w:ascii="David" w:eastAsia="Calibri" w:hAnsi="David" w:hint="cs"/>
          <w:noProof w:val="0"/>
          <w:rtl/>
        </w:rPr>
        <w:t xml:space="preserve">האזנתי להקלטת ההחלטה והמשכתי להאזין אף לדברים שנאמרו בדיון מיד לאחריה (מדובר ב- 3-4 הדקות האחרונות של הדיון, בקטע השלישי להקלטה). לאחר הכתבת ההחלטה על ידי בית המשפט, שעסקה כזכור בקביעת מועדי ההוכחות בכל התיקים התלויים ועומדים וזימון העדים לכל ישיבת הוכחות (ראו סעיף 14 לעיל), העיר המבקש את תשומת לב בית המשפט לדברי כב' השופט ג'יוסי בפסק דינו הנ"ל; כן שאלה ב"כ היועמ"ש האם דיון ההוכחות הקרוב (30.4.23) מיועד עבור תיק הנזקקות בלבד. </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noProof w:val="0"/>
          <w:rtl/>
        </w:rPr>
        <w:tab/>
      </w:r>
      <w:r w:rsidRPr="006015D4">
        <w:rPr>
          <w:rFonts w:ascii="David" w:eastAsia="Calibri" w:hAnsi="David" w:hint="cs"/>
          <w:noProof w:val="0"/>
          <w:rtl/>
        </w:rPr>
        <w:t xml:space="preserve">השופטת קמא ענתה כי מועדי ההוכחות הם עבור שלושת התיקים וכי לעמדתה, כל העדים שזומנו </w:t>
      </w:r>
      <w:r w:rsidRPr="006015D4">
        <w:rPr>
          <w:rFonts w:ascii="David" w:eastAsia="Calibri" w:hAnsi="David"/>
          <w:noProof w:val="0"/>
          <w:rtl/>
        </w:rPr>
        <w:t>–</w:t>
      </w:r>
      <w:r w:rsidRPr="006015D4">
        <w:rPr>
          <w:rFonts w:ascii="David" w:eastAsia="Calibri" w:hAnsi="David" w:hint="cs"/>
          <w:noProof w:val="0"/>
          <w:rtl/>
        </w:rPr>
        <w:t xml:space="preserve"> רלוונטיים לשלושת התיקים. עם זאת ציינה כי עשתה "</w:t>
      </w:r>
      <w:r w:rsidRPr="006015D4">
        <w:rPr>
          <w:rFonts w:ascii="David" w:eastAsia="Calibri" w:hAnsi="David" w:hint="cs"/>
          <w:b/>
          <w:bCs/>
          <w:noProof w:val="0"/>
          <w:rtl/>
        </w:rPr>
        <w:t>סדר כרונולוגי</w:t>
      </w:r>
      <w:r w:rsidRPr="006015D4">
        <w:rPr>
          <w:rFonts w:ascii="David" w:eastAsia="Calibri" w:hAnsi="David" w:hint="cs"/>
          <w:noProof w:val="0"/>
          <w:rtl/>
        </w:rPr>
        <w:t>" מבחינת העדויות, כך שבדיון הראשון (30.4.23) יישמעו העדים הנוגעים לחוק הנוער, היינו תיק הנזקקות בלבד.</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t>22.</w:t>
      </w:r>
      <w:r w:rsidRPr="006015D4">
        <w:rPr>
          <w:rFonts w:ascii="David" w:eastAsia="Calibri" w:hAnsi="David" w:hint="cs"/>
          <w:noProof w:val="0"/>
          <w:rtl/>
        </w:rPr>
        <w:tab/>
        <w:t xml:space="preserve">ככל שהדבר לא מובהר דיו בדברי השופטת קמא, </w:t>
      </w:r>
      <w:r w:rsidRPr="006015D4">
        <w:rPr>
          <w:rFonts w:ascii="David" w:eastAsia="Calibri" w:hAnsi="David" w:hint="cs"/>
          <w:noProof w:val="0"/>
          <w:u w:val="single"/>
          <w:rtl/>
        </w:rPr>
        <w:t>אני מבהיר זאת ומורה כי כך ייעשה</w:t>
      </w:r>
      <w:r w:rsidRPr="006015D4">
        <w:rPr>
          <w:rFonts w:ascii="David" w:eastAsia="Calibri" w:hAnsi="David" w:hint="cs"/>
          <w:noProof w:val="0"/>
          <w:rtl/>
        </w:rPr>
        <w:t>. קרי,</w:t>
      </w:r>
      <w:r w:rsidRPr="006015D4">
        <w:rPr>
          <w:rFonts w:ascii="David" w:eastAsia="Calibri" w:hAnsi="David" w:hint="cs"/>
          <w:b/>
          <w:bCs/>
          <w:noProof w:val="0"/>
          <w:rtl/>
        </w:rPr>
        <w:t xml:space="preserve"> במועד ההוכחות הראשון (30.4.23) ייחקרו העדים המפורטים בהחלטה קמא מיום 16.4.23, רק על תביעת הנזקקות</w:t>
      </w:r>
      <w:r w:rsidRPr="006015D4">
        <w:rPr>
          <w:rFonts w:ascii="David" w:eastAsia="Calibri" w:hAnsi="David" w:hint="cs"/>
          <w:noProof w:val="0"/>
          <w:rtl/>
        </w:rPr>
        <w:t xml:space="preserve">. </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noProof w:val="0"/>
          <w:rtl/>
        </w:rPr>
        <w:tab/>
      </w:r>
      <w:r w:rsidRPr="006015D4">
        <w:rPr>
          <w:rFonts w:ascii="David" w:eastAsia="Calibri" w:hAnsi="David" w:hint="cs"/>
          <w:noProof w:val="0"/>
          <w:rtl/>
        </w:rPr>
        <w:t xml:space="preserve">במסגרת ההחלטה מיום 16.4.23, הוזמנו להעיד במועד הקרוב (30.4.23) </w:t>
      </w:r>
      <w:r w:rsidRPr="006015D4">
        <w:rPr>
          <w:rFonts w:ascii="David" w:eastAsia="Calibri" w:hAnsi="David"/>
          <w:noProof w:val="0"/>
          <w:rtl/>
        </w:rPr>
        <w:t xml:space="preserve">ד"ר טטיאנה אברט, עו"ס </w:t>
      </w:r>
      <w:r w:rsidRPr="006015D4">
        <w:rPr>
          <w:rFonts w:ascii="David" w:eastAsia="Calibri" w:hAnsi="David" w:hint="cs"/>
          <w:noProof w:val="0"/>
          <w:rtl/>
        </w:rPr>
        <w:t>לחוק ה</w:t>
      </w:r>
      <w:r w:rsidRPr="006015D4">
        <w:rPr>
          <w:rFonts w:ascii="David" w:eastAsia="Calibri" w:hAnsi="David"/>
          <w:noProof w:val="0"/>
          <w:rtl/>
        </w:rPr>
        <w:t>נוער וההורי</w:t>
      </w:r>
      <w:r w:rsidRPr="006015D4">
        <w:rPr>
          <w:rFonts w:ascii="David" w:eastAsia="Calibri" w:hAnsi="David" w:hint="cs"/>
          <w:noProof w:val="0"/>
          <w:rtl/>
        </w:rPr>
        <w:t>ם (המבקש והמשיבה), ועדותם תישמע במועד זה אך בעניין תביעת הנזקקות</w:t>
      </w:r>
      <w:r w:rsidRPr="006015D4">
        <w:rPr>
          <w:rFonts w:ascii="David" w:eastAsia="Calibri" w:hAnsi="David"/>
          <w:noProof w:val="0"/>
          <w:rtl/>
        </w:rPr>
        <w:t>.</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noProof w:val="0"/>
          <w:rtl/>
        </w:rPr>
        <w:tab/>
      </w:r>
      <w:r w:rsidRPr="006015D4">
        <w:rPr>
          <w:rFonts w:ascii="David" w:eastAsia="Calibri" w:hAnsi="David" w:hint="cs"/>
          <w:noProof w:val="0"/>
          <w:rtl/>
        </w:rPr>
        <w:t xml:space="preserve">בכך לדעתי טמון ההבדל בין המקרה שתואר בתיק ענ"א דלעיל לבין ענייננו אנו. בתיק קמא הדיון בשלושת התיקים (נזקקות, אפוטרופסות ומשמורת) אוחד אמנם </w:t>
      </w:r>
      <w:r w:rsidRPr="006015D4">
        <w:rPr>
          <w:rFonts w:ascii="David" w:eastAsia="Calibri" w:hAnsi="David"/>
          <w:noProof w:val="0"/>
          <w:rtl/>
        </w:rPr>
        <w:t>–</w:t>
      </w:r>
      <w:r w:rsidRPr="006015D4">
        <w:rPr>
          <w:rFonts w:ascii="David" w:eastAsia="Calibri" w:hAnsi="David" w:hint="cs"/>
          <w:noProof w:val="0"/>
          <w:rtl/>
        </w:rPr>
        <w:t xml:space="preserve"> אולם </w:t>
      </w:r>
      <w:r w:rsidRPr="006015D4">
        <w:rPr>
          <w:rFonts w:ascii="David" w:eastAsia="Calibri" w:hAnsi="David" w:hint="cs"/>
          <w:b/>
          <w:bCs/>
          <w:noProof w:val="0"/>
          <w:rtl/>
        </w:rPr>
        <w:t xml:space="preserve">בית משפט קמא הורה בהחלטתו על הקדשת דיון ההוכחות הראשון לעדים בתיק הנזקקות, ובתיק זה בלבד </w:t>
      </w:r>
      <w:r w:rsidRPr="006015D4">
        <w:rPr>
          <w:rFonts w:ascii="David" w:eastAsia="Calibri" w:hAnsi="David"/>
          <w:b/>
          <w:bCs/>
          <w:noProof w:val="0"/>
          <w:rtl/>
        </w:rPr>
        <w:t>–</w:t>
      </w:r>
      <w:r w:rsidRPr="006015D4">
        <w:rPr>
          <w:rFonts w:ascii="David" w:eastAsia="Calibri" w:hAnsi="David" w:hint="cs"/>
          <w:b/>
          <w:bCs/>
          <w:noProof w:val="0"/>
          <w:rtl/>
        </w:rPr>
        <w:t xml:space="preserve"> ובכך בידל אותו משאר התיקים</w:t>
      </w:r>
      <w:r w:rsidRPr="006015D4">
        <w:rPr>
          <w:rFonts w:ascii="David" w:eastAsia="Calibri" w:hAnsi="David" w:hint="cs"/>
          <w:noProof w:val="0"/>
          <w:rtl/>
        </w:rPr>
        <w:t>.</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t>23.</w:t>
      </w:r>
      <w:r w:rsidRPr="006015D4">
        <w:rPr>
          <w:rFonts w:ascii="David" w:eastAsia="Calibri" w:hAnsi="David" w:hint="cs"/>
          <w:noProof w:val="0"/>
          <w:rtl/>
        </w:rPr>
        <w:tab/>
        <w:t xml:space="preserve">אין בכוונתי להתערב באופן ניהול ההליך שנקבע על ידי בית משפט קמא, לרבות בסדר הבאת הראיות, סדר שמיעת העדים (או </w:t>
      </w:r>
      <w:r w:rsidRPr="006015D4">
        <w:rPr>
          <w:rFonts w:ascii="David" w:eastAsia="Calibri" w:hAnsi="David"/>
          <w:noProof w:val="0"/>
          <w:rtl/>
        </w:rPr>
        <w:t>–</w:t>
      </w:r>
      <w:r w:rsidRPr="006015D4">
        <w:rPr>
          <w:rFonts w:ascii="David" w:eastAsia="Calibri" w:hAnsi="David" w:hint="cs"/>
          <w:noProof w:val="0"/>
          <w:rtl/>
        </w:rPr>
        <w:t xml:space="preserve"> "סדרי העדיפויות" כפי שניסח המבקש בבקשתו </w:t>
      </w:r>
      <w:r w:rsidRPr="006015D4">
        <w:rPr>
          <w:rFonts w:ascii="David" w:eastAsia="Calibri" w:hAnsi="David"/>
          <w:noProof w:val="0"/>
          <w:rtl/>
        </w:rPr>
        <w:t>–</w:t>
      </w:r>
      <w:r w:rsidRPr="006015D4">
        <w:rPr>
          <w:rFonts w:ascii="David" w:eastAsia="Calibri" w:hAnsi="David" w:hint="cs"/>
          <w:noProof w:val="0"/>
          <w:rtl/>
        </w:rPr>
        <w:t xml:space="preserve"> ראו סעיף 15(ה) לעיל) וכיוצ''ב, בהיותו החלטה דיונית גרידא. שוב נציין את הכלל לעיל לאמור, כי בית משפט לערעור לא יתערב בהחלטות דיוניות, ואין מקום לסטות מכלל זה אף בעניין זה. </w:t>
      </w:r>
      <w:r w:rsidRPr="006015D4">
        <w:rPr>
          <w:rFonts w:ascii="David" w:eastAsia="Calibri" w:hAnsi="David"/>
          <w:noProof w:val="0"/>
          <w:rtl/>
        </w:rPr>
        <w:tab/>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t>24.</w:t>
      </w:r>
      <w:r w:rsidRPr="006015D4">
        <w:rPr>
          <w:rFonts w:ascii="David" w:eastAsia="Calibri" w:hAnsi="David"/>
          <w:noProof w:val="0"/>
          <w:rtl/>
        </w:rPr>
        <w:tab/>
      </w:r>
      <w:r w:rsidRPr="006015D4">
        <w:rPr>
          <w:rFonts w:ascii="David" w:eastAsia="Calibri" w:hAnsi="David" w:hint="cs"/>
          <w:noProof w:val="0"/>
          <w:rtl/>
        </w:rPr>
        <w:t xml:space="preserve">באשר לבקשתו של המבקש להורות כי מותב אחר ידון בענייניו בבית משפט קמא, דינה להידחות מהטעם שאין זה תפקידה של ערכאת הערעור להורות כן. על המבקש לנקוט בהליך מתאים אחר להחלפת המותב, ככל שסבור שיש לו בסיס לבקש זאת. </w:t>
      </w:r>
    </w:p>
    <w:p w:rsidR="006015D4" w:rsidRPr="006015D4" w:rsidRDefault="006015D4" w:rsidP="006015D4">
      <w:pPr>
        <w:spacing w:after="120" w:line="360" w:lineRule="auto"/>
        <w:ind w:left="720" w:hanging="720"/>
        <w:jc w:val="both"/>
        <w:rPr>
          <w:rFonts w:ascii="David" w:eastAsia="Calibri" w:hAnsi="David"/>
          <w:noProof w:val="0"/>
          <w:rtl/>
        </w:rPr>
      </w:pPr>
    </w:p>
    <w:p w:rsidR="006015D4" w:rsidRPr="006015D4" w:rsidRDefault="006015D4" w:rsidP="006015D4">
      <w:pPr>
        <w:spacing w:after="120" w:line="360" w:lineRule="auto"/>
        <w:rPr>
          <w:rFonts w:ascii="David" w:eastAsia="Calibri" w:hAnsi="David"/>
          <w:b/>
          <w:bCs/>
          <w:u w:val="single"/>
          <w:rtl/>
        </w:rPr>
      </w:pPr>
      <w:r w:rsidRPr="006015D4">
        <w:rPr>
          <w:rFonts w:ascii="David" w:eastAsia="Calibri" w:hAnsi="David"/>
          <w:b/>
          <w:bCs/>
          <w:noProof w:val="0"/>
          <w:u w:val="single"/>
          <w:rtl/>
        </w:rPr>
        <w:t>סוף דבר</w:t>
      </w:r>
    </w:p>
    <w:p w:rsidR="006015D4" w:rsidRPr="006015D4" w:rsidRDefault="006015D4" w:rsidP="006015D4">
      <w:pPr>
        <w:spacing w:after="120" w:line="360" w:lineRule="auto"/>
        <w:rPr>
          <w:rFonts w:ascii="David" w:eastAsia="Calibri" w:hAnsi="David"/>
          <w:noProof w:val="0"/>
          <w:rtl/>
        </w:rPr>
      </w:pPr>
      <w:r w:rsidRPr="006015D4">
        <w:rPr>
          <w:rFonts w:ascii="David" w:eastAsia="Calibri" w:hAnsi="David" w:hint="cs"/>
          <w:noProof w:val="0"/>
          <w:rtl/>
        </w:rPr>
        <w:t>25</w:t>
      </w:r>
      <w:r w:rsidRPr="006015D4">
        <w:rPr>
          <w:rFonts w:ascii="David" w:eastAsia="Calibri" w:hAnsi="David"/>
          <w:noProof w:val="0"/>
          <w:rtl/>
        </w:rPr>
        <w:t>.</w:t>
      </w:r>
      <w:r w:rsidRPr="006015D4">
        <w:rPr>
          <w:rFonts w:ascii="David" w:eastAsia="Calibri" w:hAnsi="David"/>
          <w:noProof w:val="0"/>
          <w:rtl/>
        </w:rPr>
        <w:tab/>
      </w:r>
      <w:r w:rsidRPr="006015D4">
        <w:rPr>
          <w:rFonts w:ascii="David" w:eastAsia="Calibri" w:hAnsi="David"/>
          <w:b/>
          <w:bCs/>
          <w:noProof w:val="0"/>
          <w:rtl/>
        </w:rPr>
        <w:t xml:space="preserve">לאור כל האמור לעיל אני מורה על </w:t>
      </w:r>
      <w:r w:rsidRPr="006015D4">
        <w:rPr>
          <w:rFonts w:ascii="David" w:eastAsia="Calibri" w:hAnsi="David" w:hint="cs"/>
          <w:b/>
          <w:bCs/>
          <w:noProof w:val="0"/>
          <w:rtl/>
        </w:rPr>
        <w:t>דחיית בקשת רשות הערעור לגבי שתי ההחלטות קמא.</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hint="cs"/>
          <w:noProof w:val="0"/>
          <w:rtl/>
        </w:rPr>
        <w:lastRenderedPageBreak/>
        <w:t>26</w:t>
      </w:r>
      <w:r w:rsidRPr="006015D4">
        <w:rPr>
          <w:rFonts w:ascii="David" w:eastAsia="Calibri" w:hAnsi="David"/>
          <w:noProof w:val="0"/>
          <w:rtl/>
        </w:rPr>
        <w:t>.</w:t>
      </w:r>
      <w:r w:rsidRPr="006015D4">
        <w:rPr>
          <w:rFonts w:ascii="David" w:eastAsia="Calibri" w:hAnsi="David"/>
          <w:noProof w:val="0"/>
          <w:rtl/>
        </w:rPr>
        <w:tab/>
      </w:r>
      <w:r w:rsidRPr="006015D4">
        <w:rPr>
          <w:rFonts w:ascii="David" w:eastAsia="Calibri" w:hAnsi="David" w:hint="cs"/>
          <w:noProof w:val="0"/>
          <w:rtl/>
        </w:rPr>
        <w:t>משלא התבקשה תשובה, אין צו להוצאות.</w:t>
      </w:r>
    </w:p>
    <w:p w:rsidR="006015D4" w:rsidRPr="006015D4" w:rsidRDefault="006015D4" w:rsidP="006015D4">
      <w:pPr>
        <w:spacing w:after="120" w:line="360" w:lineRule="auto"/>
        <w:ind w:left="720" w:hanging="720"/>
        <w:jc w:val="both"/>
        <w:rPr>
          <w:rFonts w:ascii="David" w:eastAsia="Calibri" w:hAnsi="David"/>
          <w:noProof w:val="0"/>
          <w:rtl/>
        </w:rPr>
      </w:pPr>
      <w:r w:rsidRPr="006015D4">
        <w:rPr>
          <w:rFonts w:ascii="David" w:eastAsia="Calibri" w:hAnsi="David"/>
          <w:noProof w:val="0"/>
          <w:rtl/>
        </w:rPr>
        <w:tab/>
      </w:r>
      <w:r w:rsidRPr="006015D4">
        <w:rPr>
          <w:rFonts w:ascii="David" w:eastAsia="Calibri" w:hAnsi="David" w:hint="cs"/>
          <w:noProof w:val="0"/>
          <w:rtl/>
        </w:rPr>
        <w:t>המזכירות תשיב למבקש את העירבון שהפקיד בהליך.</w:t>
      </w:r>
    </w:p>
    <w:p w:rsidR="006015D4" w:rsidRPr="006015D4" w:rsidRDefault="006015D4" w:rsidP="006015D4">
      <w:pPr>
        <w:spacing w:after="120" w:line="360" w:lineRule="auto"/>
        <w:rPr>
          <w:rFonts w:ascii="David" w:eastAsia="Calibri" w:hAnsi="David"/>
          <w:noProof w:val="0"/>
          <w:rtl/>
        </w:rPr>
      </w:pPr>
    </w:p>
    <w:p w:rsidR="006015D4" w:rsidRPr="006015D4" w:rsidRDefault="006015D4" w:rsidP="006015D4">
      <w:pPr>
        <w:spacing w:after="120" w:line="360" w:lineRule="auto"/>
        <w:rPr>
          <w:rFonts w:ascii="David" w:eastAsia="Calibri" w:hAnsi="David"/>
          <w:b/>
          <w:bCs/>
          <w:noProof w:val="0"/>
          <w:rtl/>
        </w:rPr>
      </w:pPr>
      <w:r w:rsidRPr="006015D4">
        <w:rPr>
          <w:rFonts w:ascii="David" w:eastAsia="Calibri" w:hAnsi="David"/>
          <w:b/>
          <w:bCs/>
          <w:noProof w:val="0"/>
          <w:rtl/>
        </w:rPr>
        <w:t xml:space="preserve">המזכירות תשלח </w:t>
      </w:r>
      <w:r w:rsidRPr="006015D4">
        <w:rPr>
          <w:rFonts w:ascii="David" w:eastAsia="Calibri" w:hAnsi="David" w:hint="cs"/>
          <w:b/>
          <w:bCs/>
          <w:noProof w:val="0"/>
          <w:rtl/>
        </w:rPr>
        <w:t>החלטה זו</w:t>
      </w:r>
      <w:r w:rsidRPr="006015D4">
        <w:rPr>
          <w:rFonts w:ascii="David" w:eastAsia="Calibri" w:hAnsi="David"/>
          <w:b/>
          <w:bCs/>
          <w:noProof w:val="0"/>
          <w:rtl/>
        </w:rPr>
        <w:t xml:space="preserve"> לצדדים.</w:t>
      </w:r>
    </w:p>
    <w:p w:rsidR="006015D4" w:rsidRPr="006015D4" w:rsidRDefault="006015D4" w:rsidP="006015D4">
      <w:pPr>
        <w:spacing w:after="120" w:line="360" w:lineRule="auto"/>
        <w:rPr>
          <w:rFonts w:ascii="David" w:eastAsia="Calibri" w:hAnsi="David"/>
          <w:b/>
          <w:bCs/>
          <w:noProof w:val="0"/>
        </w:rPr>
      </w:pPr>
    </w:p>
    <w:p w:rsidR="006015D4" w:rsidRPr="006015D4" w:rsidRDefault="006015D4" w:rsidP="006015D4">
      <w:pPr>
        <w:spacing w:after="160" w:line="360" w:lineRule="auto"/>
        <w:jc w:val="both"/>
        <w:rPr>
          <w:rFonts w:ascii="David" w:eastAsia="Calibri" w:hAnsi="David"/>
          <w:noProof w:val="0"/>
          <w:rtl/>
        </w:rPr>
      </w:pPr>
      <w:r w:rsidRPr="006015D4">
        <w:rPr>
          <w:rFonts w:ascii="David" w:eastAsia="Calibri" w:hAnsi="David" w:hint="cs"/>
          <w:b/>
          <w:bCs/>
          <w:noProof w:val="0"/>
          <w:rtl/>
        </w:rPr>
        <w:t xml:space="preserve">החלטה זו </w:t>
      </w:r>
      <w:r w:rsidRPr="006015D4">
        <w:rPr>
          <w:rFonts w:ascii="David" w:eastAsia="Calibri" w:hAnsi="David"/>
          <w:b/>
          <w:bCs/>
          <w:noProof w:val="0"/>
          <w:rtl/>
        </w:rPr>
        <w:t>מותר</w:t>
      </w:r>
      <w:r w:rsidRPr="006015D4">
        <w:rPr>
          <w:rFonts w:ascii="David" w:eastAsia="Calibri" w:hAnsi="David" w:hint="cs"/>
          <w:b/>
          <w:bCs/>
          <w:noProof w:val="0"/>
          <w:rtl/>
        </w:rPr>
        <w:t>ת</w:t>
      </w:r>
      <w:r w:rsidRPr="006015D4">
        <w:rPr>
          <w:rFonts w:ascii="David" w:eastAsia="Calibri" w:hAnsi="David"/>
          <w:b/>
          <w:bCs/>
          <w:noProof w:val="0"/>
          <w:rtl/>
        </w:rPr>
        <w:t xml:space="preserve">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אפריל 2023</w:t>
          </w:r>
        </w:sdtContent>
      </w:sdt>
      <w:r w:rsidR="00005C8B">
        <w:rPr>
          <w:rFonts w:ascii="Arial" w:hAnsi="Arial"/>
          <w:noProof w:val="0"/>
          <w:rtl/>
        </w:rPr>
        <w:t>, בהעדר הצדדים.</w:t>
      </w:r>
    </w:p>
    <w:p w:rsidR="00C43648" w:rsidRDefault="006C109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88285731"/>
        </w:sdtPr>
        <w:sdtEndPr/>
        <w:sdtContent>
          <w:r w:rsidR="003327EB">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A265A">
      <w:headerReference w:type="even" r:id="rId8"/>
      <w:headerReference w:type="default" r:id="rId9"/>
      <w:footerReference w:type="even" r:id="rId10"/>
      <w:footerReference w:type="default" r:id="rId11"/>
      <w:headerReference w:type="first" r:id="rId12"/>
      <w:footerReference w:type="first" r:id="rId13"/>
      <w:pgSz w:w="11907" w:h="16840" w:code="9"/>
      <w:pgMar w:top="1440" w:right="1275"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091" w:rsidRDefault="006C1091">
      <w:r>
        <w:separator/>
      </w:r>
    </w:p>
  </w:endnote>
  <w:endnote w:type="continuationSeparator" w:id="0">
    <w:p w:rsidR="006C1091" w:rsidRDefault="006C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DFD" w:rsidRDefault="00237D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14E3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14E3E">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DFD" w:rsidRDefault="00237D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091" w:rsidRDefault="006C1091">
      <w:r>
        <w:separator/>
      </w:r>
    </w:p>
  </w:footnote>
  <w:footnote w:type="continuationSeparator" w:id="0">
    <w:p w:rsidR="006C1091" w:rsidRDefault="006C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DFD" w:rsidRDefault="00237D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Default="006C1091" w:rsidP="001765DE">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35680-04-23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1765DE">
                <w:rPr>
                  <w:rFonts w:hint="cs"/>
                  <w:b/>
                  <w:bCs/>
                  <w:noProof w:val="0"/>
                  <w:sz w:val="26"/>
                  <w:szCs w:val="26"/>
                  <w:rtl/>
                </w:rPr>
                <w:t>פ.</w:t>
              </w:r>
              <w:r w:rsidR="00FE09EC">
                <w:rPr>
                  <w:b/>
                  <w:bCs/>
                  <w:noProof w:val="0"/>
                  <w:sz w:val="26"/>
                  <w:szCs w:val="26"/>
                  <w:rtl/>
                </w:rPr>
                <w:t xml:space="preserve"> נ' </w:t>
              </w:r>
              <w:r w:rsidR="001765DE">
                <w:rPr>
                  <w:rFonts w:hint="cs"/>
                  <w:b/>
                  <w:bCs/>
                  <w:noProof w:val="0"/>
                  <w:sz w:val="26"/>
                  <w:szCs w:val="26"/>
                  <w:rtl/>
                </w:rPr>
                <w:t>פ.</w:t>
              </w:r>
            </w:sdtContent>
          </w:sdt>
          <w:r w:rsidR="00CD516B">
            <w:rPr>
              <w:b/>
              <w:bCs/>
              <w:noProof w:val="0"/>
              <w:sz w:val="26"/>
              <w:szCs w:val="26"/>
              <w:rtl/>
            </w:rPr>
            <w:t xml:space="preserve"> </w:t>
          </w:r>
          <w:r w:rsidR="001173C6">
            <w:rPr>
              <w:sz w:val="20"/>
              <w:szCs w:val="20"/>
              <w:rtl/>
            </w:rPr>
            <w:t xml:space="preserve"> </w:t>
          </w:r>
        </w:p>
        <w:p w:rsidR="006015D4" w:rsidRPr="006015D4" w:rsidRDefault="006015D4" w:rsidP="006015D4">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DFD" w:rsidRDefault="00237DF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85405"/>
    <w:rsid w:val="000906FE"/>
    <w:rsid w:val="00096AF7"/>
    <w:rsid w:val="000A4ABB"/>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65DE"/>
    <w:rsid w:val="00180519"/>
    <w:rsid w:val="00191C82"/>
    <w:rsid w:val="001C4003"/>
    <w:rsid w:val="001D4DBF"/>
    <w:rsid w:val="001E75CA"/>
    <w:rsid w:val="002265FF"/>
    <w:rsid w:val="00235B97"/>
    <w:rsid w:val="00237DFD"/>
    <w:rsid w:val="002478D1"/>
    <w:rsid w:val="00271B56"/>
    <w:rsid w:val="002C344E"/>
    <w:rsid w:val="002E75E9"/>
    <w:rsid w:val="002F0B1E"/>
    <w:rsid w:val="00307A6A"/>
    <w:rsid w:val="00307C40"/>
    <w:rsid w:val="00320433"/>
    <w:rsid w:val="003230C7"/>
    <w:rsid w:val="00327E50"/>
    <w:rsid w:val="003327EB"/>
    <w:rsid w:val="0033597A"/>
    <w:rsid w:val="00343D89"/>
    <w:rsid w:val="00362612"/>
    <w:rsid w:val="0036743F"/>
    <w:rsid w:val="003715DD"/>
    <w:rsid w:val="003823E0"/>
    <w:rsid w:val="003A4521"/>
    <w:rsid w:val="003B3E8D"/>
    <w:rsid w:val="003C285B"/>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36031"/>
    <w:rsid w:val="00547DB7"/>
    <w:rsid w:val="005662FE"/>
    <w:rsid w:val="005C0627"/>
    <w:rsid w:val="005F061D"/>
    <w:rsid w:val="005F4F09"/>
    <w:rsid w:val="006015D4"/>
    <w:rsid w:val="0061431B"/>
    <w:rsid w:val="00622BAA"/>
    <w:rsid w:val="006306CF"/>
    <w:rsid w:val="006318D8"/>
    <w:rsid w:val="00644E9A"/>
    <w:rsid w:val="00671BD5"/>
    <w:rsid w:val="006805C1"/>
    <w:rsid w:val="00685176"/>
    <w:rsid w:val="00686C21"/>
    <w:rsid w:val="006931C1"/>
    <w:rsid w:val="00694556"/>
    <w:rsid w:val="006B7258"/>
    <w:rsid w:val="006C1091"/>
    <w:rsid w:val="006C30C5"/>
    <w:rsid w:val="006D3B31"/>
    <w:rsid w:val="006E0D96"/>
    <w:rsid w:val="006E1A53"/>
    <w:rsid w:val="006F56E6"/>
    <w:rsid w:val="00704EDA"/>
    <w:rsid w:val="00721122"/>
    <w:rsid w:val="00734689"/>
    <w:rsid w:val="00753019"/>
    <w:rsid w:val="00754801"/>
    <w:rsid w:val="00755C8D"/>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14E3E"/>
    <w:rsid w:val="0094424E"/>
    <w:rsid w:val="00955642"/>
    <w:rsid w:val="009622DF"/>
    <w:rsid w:val="0096493F"/>
    <w:rsid w:val="00967DFF"/>
    <w:rsid w:val="00994341"/>
    <w:rsid w:val="009A265A"/>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table" w:customStyle="1" w:styleId="10">
    <w:name w:val="רשת טבלה1"/>
    <w:basedOn w:val="a1"/>
    <w:next w:val="a9"/>
    <w:rsid w:val="006015D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F4AD8" w:rsidP="005F4AD8">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32713"/>
    <w:rsid w:val="00060CF6"/>
    <w:rsid w:val="000A4ACE"/>
    <w:rsid w:val="001A0763"/>
    <w:rsid w:val="002D02C4"/>
    <w:rsid w:val="00345C9D"/>
    <w:rsid w:val="0048651F"/>
    <w:rsid w:val="004B017A"/>
    <w:rsid w:val="005157ED"/>
    <w:rsid w:val="00556D67"/>
    <w:rsid w:val="005F4AD8"/>
    <w:rsid w:val="00617029"/>
    <w:rsid w:val="00673B50"/>
    <w:rsid w:val="00793995"/>
    <w:rsid w:val="007C6F98"/>
    <w:rsid w:val="007E254A"/>
    <w:rsid w:val="008B4366"/>
    <w:rsid w:val="009133C7"/>
    <w:rsid w:val="009178E4"/>
    <w:rsid w:val="00961B27"/>
    <w:rsid w:val="009A36E7"/>
    <w:rsid w:val="00A216B5"/>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4AD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5F4AD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1728</Words>
  <Characters>8645</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2023-05-07T07:05:00Z</dcterms:created>
  <dcterms:modified xsi:type="dcterms:W3CDTF">2023-05-07T07:05:00Z</dcterms:modified>
</cp:coreProperties>
</file>